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33" w:rsidRPr="00032C33" w:rsidRDefault="00032C33" w:rsidP="00032C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  <w:t>ЗАТВЕРДЖЕНО</w:t>
      </w:r>
    </w:p>
    <w:p w:rsidR="00032C33" w:rsidRPr="00032C33" w:rsidRDefault="00032C33" w:rsidP="00032C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  <w:t>наказ Держлікслужби</w:t>
      </w:r>
    </w:p>
    <w:p w:rsidR="00032C33" w:rsidRPr="00032C33" w:rsidRDefault="00032C33" w:rsidP="00032C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  <w:r w:rsidR="00DA5695" w:rsidRPr="00DA5695">
        <w:rPr>
          <w:rFonts w:ascii="Times New Roman" w:eastAsia="Times New Roman" w:hAnsi="Times New Roman" w:cs="Times New Roman"/>
          <w:sz w:val="28"/>
          <w:szCs w:val="20"/>
          <w:u w:val="single"/>
          <w:lang w:eastAsia="uk-UA"/>
        </w:rPr>
        <w:t>30.11.2020</w:t>
      </w:r>
      <w:r w:rsidR="00DA5695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 </w:t>
      </w:r>
      <w:r w:rsidRPr="00032C33">
        <w:rPr>
          <w:rFonts w:ascii="Times New Roman" w:eastAsia="Times New Roman" w:hAnsi="Times New Roman" w:cs="Times New Roman"/>
          <w:sz w:val="28"/>
          <w:szCs w:val="20"/>
          <w:lang w:eastAsia="uk-UA"/>
        </w:rPr>
        <w:t>№</w:t>
      </w:r>
      <w:r w:rsidR="00DA5695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="00DA5695" w:rsidRPr="00DA5695">
        <w:rPr>
          <w:rFonts w:ascii="Times New Roman" w:eastAsia="Times New Roman" w:hAnsi="Times New Roman" w:cs="Times New Roman"/>
          <w:sz w:val="28"/>
          <w:szCs w:val="20"/>
          <w:u w:val="single"/>
          <w:lang w:eastAsia="uk-UA"/>
        </w:rPr>
        <w:t>1075</w:t>
      </w:r>
    </w:p>
    <w:p w:rsidR="00032C33" w:rsidRPr="00032C33" w:rsidRDefault="00032C33" w:rsidP="00032C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032C33" w:rsidRPr="00032C33" w:rsidRDefault="00032C33" w:rsidP="00032C3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032C33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Зміни до Інструкції з діловодства в Державній службі України з лікарських засобів та контролю за наркотиками</w:t>
      </w:r>
    </w:p>
    <w:p w:rsidR="00032C33" w:rsidRPr="00032C33" w:rsidRDefault="00032C33" w:rsidP="00032C3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bookmarkStart w:id="0" w:name="_GoBack"/>
      <w:bookmarkEnd w:id="0"/>
    </w:p>
    <w:p w:rsidR="00032C33" w:rsidRPr="00032C33" w:rsidRDefault="00032C33" w:rsidP="00032C3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032C33" w:rsidRPr="00032C33" w:rsidRDefault="00032C33" w:rsidP="005341DA">
      <w:pPr>
        <w:numPr>
          <w:ilvl w:val="0"/>
          <w:numId w:val="1"/>
        </w:numPr>
        <w:spacing w:after="120" w:line="276" w:lineRule="auto"/>
        <w:ind w:left="709" w:right="-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Розділ ІІ </w:t>
      </w:r>
      <w:r w:rsidRPr="00032C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«Документування управлінської інформації»</w:t>
      </w:r>
      <w:r w:rsidRPr="0003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доповнити  таким змістом: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C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2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Особливості підготовки деяких видів електронних документів</w:t>
      </w:r>
    </w:p>
    <w:p w:rsidR="00032C33" w:rsidRPr="00032C33" w:rsidRDefault="00032C33" w:rsidP="00032C33">
      <w:pPr>
        <w:spacing w:after="120" w:line="276" w:lineRule="auto"/>
        <w:ind w:right="-57"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Проекти</w:t>
      </w:r>
      <w:proofErr w:type="spellEnd"/>
      <w:r w:rsidRPr="00032C33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актів</w:t>
      </w:r>
      <w:proofErr w:type="spellEnd"/>
      <w:r w:rsidRPr="00032C33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Кабінету</w:t>
      </w:r>
      <w:proofErr w:type="spellEnd"/>
      <w:r w:rsidRPr="00032C33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Міністрів</w:t>
      </w:r>
      <w:proofErr w:type="spellEnd"/>
      <w:r w:rsidRPr="00032C33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України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2.133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Підготовка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включає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себе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розроблення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співрозроблення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погодження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правову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експертизу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в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електронній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формі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Підготовка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здійснюється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використанням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модуля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системи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взаємодії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крім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випадків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коли є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обґрунтовані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підстави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для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документування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управлінської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інформації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паперовій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формі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разі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коли строк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підготовки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 прямо не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визначено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завданням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підготовку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такий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строк становить до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трьох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місяців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дати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набрання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чинності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завданням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Контроль за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дотриманням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визначених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цією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Інструкцією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строків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підготовки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проектів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актів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здійснюється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використанням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модуля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системи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взаємодії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Розробником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визначається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влади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до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компетенції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належить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формування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та/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реалізація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державної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політики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відповідній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сфері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самостійно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визначає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заінтересовані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будуть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брати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участь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розробленні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погодженні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забезпечує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внесення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 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супровідних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матеріалів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нього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модуля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системи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взаємодії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є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відповідальним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достовірність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розміщених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системі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взаємодії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документів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крім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тих,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готують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і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розміщують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Мін’юст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і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заінтересовані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 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своєчасну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підготовку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акта;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разі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необхідності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може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ініціювати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утворення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робочої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групи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базі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своєї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установи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із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залученням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фахівців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заінтересованих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незалежних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експертів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з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питань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діяльність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регулюється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інструкцією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діловодства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установи -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разі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розроблення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особливо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значущого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може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звернутися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Державного секретаря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Кабінету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Міністрів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України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ініціативою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утворення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робочої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групи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при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Секретаріаті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Кабінету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Міністрів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України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головуванням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Державного секретаря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Кабінету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Міністрів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України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одного з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заступників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Діяльність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такої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робочої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групи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регулюється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інструкцією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діловодства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Секретаріату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Кабінету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Міністрів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України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2.136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разі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прийняття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розробником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залучення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заінтересованого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органу як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далі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 орган-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співрозробник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не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пізніше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ніж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протягом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двох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робочих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днів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дня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набрання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чинності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завданням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розроблення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створює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реєстраційно-моніторингову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картку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системі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взаємодії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повідомляє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органу-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співрозробнику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через систему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взаємодії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 початок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розроблення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із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зазначенням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мети,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сфери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строків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розроблення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контактних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структурного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підрозділу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визначеного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відповідальним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підготовку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імені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працівників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відповідальних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підготовку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2.137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Орган-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співрозробник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п’ятиденний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строк з моменту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отримання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повідомлення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 початок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розроблення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повідомляє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через систему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взаємодії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згоду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співрозроблення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контактні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структурного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підрозділу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органу-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працівників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відповідальних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співрозроблення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2.138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разі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ненадходження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визначений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строк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органу-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замовчуванням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визнає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відмову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такого органу-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участі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співрозробленні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2.139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На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етапі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співрозроблення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обмін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інформацією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між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виконавцями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органу-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здійснюється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через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службову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електронну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пошту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інші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не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заборонені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законодавством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засоби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телекомунікації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(при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цьому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керівники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структурних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підрозділів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зазначаються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копії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листа),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проведення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робочих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нарад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зустрічей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тощо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Працівники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органу-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мають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доступ </w:t>
      </w:r>
      <w:proofErr w:type="gram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 тексту</w:t>
      </w:r>
      <w:proofErr w:type="gram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документа,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розміщеного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відповідному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модулі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системи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взаємодії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Співрозроблення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здійснює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відповідальний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підрозділ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органу-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без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залучення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цій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стадії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керівництва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органу.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Відповідальний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підрозділ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органу-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може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разі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необхідності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залучати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опрацювання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визначені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ним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структурні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підрозділи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цього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ж органу;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має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протягом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десяти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робочих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днів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моменту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надходження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 на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опрацювання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визначитися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позицією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щодо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 та подати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свої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зауваження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і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пропозиції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нього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Якщо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стадії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співрозроблення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позиціях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виникли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розбіжності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організовує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робочу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нараду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рівні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керівників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структурних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підрозділів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безпосередніх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виконавців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відповідальних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спільне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розроблення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за результатами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відповідальним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підрозділом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органу-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готується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акт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розбіжностей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підписом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керівника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органу-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До акта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розбіжностей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не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вносяться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розбіжності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було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врегульовано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знято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час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робочої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наради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Усі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акти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розбіжностей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обов’язково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розміщуються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органом-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співрозробником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відповідному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модулі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системі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взаємодії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разі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коли орган не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розмістив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акт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розбіжностей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визначений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строк,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вважається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зауваження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gram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 проекту</w:t>
      </w:r>
      <w:proofErr w:type="gram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акта в органу-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відсутні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врахування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неврахування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розбіжностей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викладених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актах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розбіжностей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приймає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керівник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установи -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14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протягом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п’яти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робочих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днів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після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завершення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розроблення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співрозроблення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 проекту акта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розміщує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доопрацьовану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версію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із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необхідними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супровідними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матеріалами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нього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відповідному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модулі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системи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взаємодії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для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здійснення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погодження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заінтересованими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органами.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Усі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акти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розбіжностей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повинні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бути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доступними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для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всіх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заінтересованих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Розміщений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відповідному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модулі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системи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взаємодії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 акта 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супровідні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матеріали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нього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повинні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бути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підписані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керівником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установи-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особою,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виконує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обов’язки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процедурою,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визначеною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цією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Інструкцією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Заінтересований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визначений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строк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надсилає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лист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із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позицією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органу </w:t>
      </w:r>
      <w:proofErr w:type="gram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 проекту</w:t>
      </w:r>
      <w:proofErr w:type="gram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акта за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підписом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керівника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заінтересованого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особи,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виконує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обов’язки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2.141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протягом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трьох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робочих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днів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після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завершення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погодження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розміщує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допрацьовану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версію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із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необхідними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супровідними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матеріалами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нього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відповідному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модулі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системи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взаємодії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для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проведення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правової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експертизи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Мін’юстом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Розміщений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відповідному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модулі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системи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взаємодії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 акта 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супровідні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матеріали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нього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повинні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бути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підписані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керівником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установи, яка 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є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розробником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документа,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особою,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виконує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обов’язки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процедурою,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визначеною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цією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Інструкцією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Висновок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Мін’юсту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 результатами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правової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експертизи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підписується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міністром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особою,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виконує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обов’язки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процедурою,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визначеною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цією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Інструкцією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розміщується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відповідному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модулі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системи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взаємодії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2.142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Проект акта,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супровідні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матеріали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нього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розміщуються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установами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є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розробниками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документів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відповідному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модулі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системи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взаємодії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Зазначені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документи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розміщуються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одноразово без права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вимагати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їх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дублетного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розміщення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іншими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установами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одночасно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форматі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PDF/A (формат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специфікації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PDF 1.4 ISO 19005-1:2005) і RTF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із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застосуванням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засобів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кваліфікованого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електронного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підпису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кваліфікованої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електронної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печатки,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якщо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документ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було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розміщено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формі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фотокопії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2.143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Для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проектів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актів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розробляються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органами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влади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застосовується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єдиний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унікальний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реєстраційний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номер,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формується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відповідному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модулі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системи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взаємодії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Усі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проекти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актів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розробляються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органами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влади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мають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єдину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порядкову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нумерацію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нумеруються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gram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порядку</w:t>
      </w:r>
      <w:proofErr w:type="gram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їх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розміщення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відповідному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модулі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системи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взаємодії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межах календарного року.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диний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унікальний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реєстраційний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номер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формується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форматі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ХХХХХХ.РРРР-І,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де ХХХХХХ -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шестизначний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випадковий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унікальний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код;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РРРР -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послідовний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нумератор </w:t>
      </w:r>
      <w:proofErr w:type="gram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 межах</w:t>
      </w:r>
      <w:proofErr w:type="gram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поточного року;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І -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ідентифікатор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типу проекту акта (“З” - Закон, “У” - Указ, “П” - постанова, “Р” -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розпорядження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истемі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електронного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документообігу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Держлікслужби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для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проектів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актів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використову</w:t>
      </w:r>
      <w:r w:rsidRPr="0003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лише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єдиний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унікальний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реєстраційний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номер,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завантажується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із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системи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взаємодії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час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реєстрації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проекту акта, без права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та/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модифікації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5.3  доповнити абзацами такого змісту:</w:t>
      </w:r>
    </w:p>
    <w:p w:rsidR="00032C33" w:rsidRPr="00032C33" w:rsidRDefault="00032C33" w:rsidP="00032C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«Наказом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Голови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Держлікслужби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визначаються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уповноважені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засвідчувачі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1" w:name="n1641"/>
      <w:bookmarkStart w:id="2" w:name="n1637"/>
      <w:bookmarkEnd w:id="1"/>
      <w:bookmarkEnd w:id="2"/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Уповноваженим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засвідчувачам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надається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право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засвідчувати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паперові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копії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електронних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документів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призначені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для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їх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подальшої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передачі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gram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архівне</w:t>
      </w:r>
      <w:proofErr w:type="spellEnd"/>
      <w:proofErr w:type="gram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зберігання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3" w:name="n1642"/>
      <w:bookmarkStart w:id="4" w:name="n1638"/>
      <w:bookmarkEnd w:id="3"/>
      <w:bookmarkEnd w:id="4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цього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gram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наказу 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додаються</w:t>
      </w:r>
      <w:proofErr w:type="spellEnd"/>
      <w:proofErr w:type="gram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зразки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підписів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власноруч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усіх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уповноважених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засвідчувачів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відбитків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печаток,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спеціально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призначених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для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здійснення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засвідчення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документів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032C33" w:rsidRPr="00032C33" w:rsidRDefault="00032C33" w:rsidP="00032C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5" w:name="n1643"/>
      <w:bookmarkStart w:id="6" w:name="n1639"/>
      <w:bookmarkEnd w:id="5"/>
      <w:bookmarkEnd w:id="6"/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Уповноважені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засвідчувачі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визначаються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із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складу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постійно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діючої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експертної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комісії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Держлікслужби.</w:t>
      </w:r>
    </w:p>
    <w:p w:rsidR="00032C33" w:rsidRPr="00032C33" w:rsidRDefault="00032C33" w:rsidP="00032C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7" w:name="n1644"/>
      <w:bookmarkStart w:id="8" w:name="n1640"/>
      <w:bookmarkEnd w:id="7"/>
      <w:bookmarkEnd w:id="8"/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Зазначений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наказ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видається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двох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оригінальних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примірниках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один з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яких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передається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відповідного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державного </w:t>
      </w:r>
      <w:proofErr w:type="spellStart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архіву</w:t>
      </w:r>
      <w:proofErr w:type="spellEnd"/>
      <w:r w:rsidRPr="00032C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.».</w:t>
      </w:r>
    </w:p>
    <w:p w:rsidR="00032C33" w:rsidRPr="00032C33" w:rsidRDefault="00032C33" w:rsidP="00032C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32C33" w:rsidRPr="00032C33" w:rsidRDefault="00032C33" w:rsidP="000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Начальник </w:t>
      </w:r>
      <w:proofErr w:type="spellStart"/>
      <w:r w:rsidRPr="00032C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Відділу</w:t>
      </w:r>
      <w:proofErr w:type="spellEnd"/>
      <w:r w:rsidRPr="00032C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032C33" w:rsidRPr="00032C33" w:rsidRDefault="00032C33" w:rsidP="000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32C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загально-адміністративної роботи</w:t>
      </w:r>
      <w:r w:rsidRPr="00032C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Pr="00032C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Pr="00032C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  <w:t>Тетяна КАРНАУХОВА</w:t>
      </w:r>
    </w:p>
    <w:p w:rsidR="00032C33" w:rsidRPr="00032C33" w:rsidRDefault="00032C33" w:rsidP="00032C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33" w:rsidRPr="00032C33" w:rsidRDefault="00032C33" w:rsidP="00032C33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61D" w:rsidRDefault="0077461D"/>
    <w:sectPr w:rsidR="0077461D" w:rsidSect="005341DA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61" w:rsidRDefault="002E1561" w:rsidP="005341DA">
      <w:pPr>
        <w:spacing w:after="0" w:line="240" w:lineRule="auto"/>
      </w:pPr>
      <w:r>
        <w:separator/>
      </w:r>
    </w:p>
  </w:endnote>
  <w:endnote w:type="continuationSeparator" w:id="0">
    <w:p w:rsidR="002E1561" w:rsidRDefault="002E1561" w:rsidP="0053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61" w:rsidRDefault="002E1561" w:rsidP="005341DA">
      <w:pPr>
        <w:spacing w:after="0" w:line="240" w:lineRule="auto"/>
      </w:pPr>
      <w:r>
        <w:separator/>
      </w:r>
    </w:p>
  </w:footnote>
  <w:footnote w:type="continuationSeparator" w:id="0">
    <w:p w:rsidR="002E1561" w:rsidRDefault="002E1561" w:rsidP="0053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268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41DA" w:rsidRPr="005341DA" w:rsidRDefault="005341D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41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41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41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569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341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41DA" w:rsidRDefault="005341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0BC8"/>
    <w:multiLevelType w:val="hybridMultilevel"/>
    <w:tmpl w:val="84809150"/>
    <w:lvl w:ilvl="0" w:tplc="40EE7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33"/>
    <w:rsid w:val="00032C33"/>
    <w:rsid w:val="002E1561"/>
    <w:rsid w:val="005341DA"/>
    <w:rsid w:val="0077461D"/>
    <w:rsid w:val="00D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E40E"/>
  <w15:chartTrackingRefBased/>
  <w15:docId w15:val="{2AFF7792-0974-4D72-A1D3-BFA668C4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1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341DA"/>
  </w:style>
  <w:style w:type="paragraph" w:styleId="a5">
    <w:name w:val="footer"/>
    <w:basedOn w:val="a"/>
    <w:link w:val="a6"/>
    <w:uiPriority w:val="99"/>
    <w:unhideWhenUsed/>
    <w:rsid w:val="005341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3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5735</Words>
  <Characters>3269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Карнаухова Тетяна Володимирівна</dc:creator>
  <cp:keywords/>
  <dc:description/>
  <cp:lastModifiedBy>Шинкаренко Олена Володимирівна</cp:lastModifiedBy>
  <cp:revision>3</cp:revision>
  <dcterms:created xsi:type="dcterms:W3CDTF">2020-11-30T13:08:00Z</dcterms:created>
  <dcterms:modified xsi:type="dcterms:W3CDTF">2021-01-25T09:49:00Z</dcterms:modified>
</cp:coreProperties>
</file>