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946200" w:rsidRPr="00946200" w:rsidRDefault="00946200" w:rsidP="009462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У відповідності до Конституції України, </w:t>
      </w:r>
      <w:proofErr w:type="spellStart"/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статтей</w:t>
      </w:r>
      <w:proofErr w:type="spellEnd"/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3.1.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№ 126/20439, "Порядку контролю якості лікарських засобів під час оптової та роздрібної торгівлі", затвердженого наказом МОЗ України від 29.09.2014 № 677, зареєстрованого Міністерством юстиції України від 26.11.2014 за № 1515/26292, та на підставі інформації Національної поліції України від 16.11.2021 № 38838 кл/24/9/4-21 щодо виявлення на </w:t>
      </w:r>
      <w:proofErr w:type="spellStart"/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безліцензійному</w:t>
      </w:r>
      <w:proofErr w:type="spellEnd"/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складі підозрілого щодо фальсифікації лікарського засобу: </w:t>
      </w:r>
    </w:p>
    <w:p w:rsidR="00946200" w:rsidRPr="00946200" w:rsidRDefault="00946200" w:rsidP="009462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4620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ТИМЧАСОВО ЗАБОРОНЯЮ</w:t>
      </w:r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 та застосування лікарського засобу  </w:t>
      </w:r>
      <w:r w:rsidRPr="0094620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БІОСЕПТ, розчин для зовнішнього застосування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96</w:t>
      </w:r>
      <w:r w:rsidRPr="0094620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% по 100 </w:t>
      </w:r>
      <w:proofErr w:type="spellStart"/>
      <w:r w:rsidRPr="0094620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94620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у флаконах або банках, серій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010521, 020521, 050219, 020219, 040219, 030220, 020320, 010220, 050219</w:t>
      </w:r>
      <w:r w:rsidRPr="0094620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, з маркуванням виробника Пр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иватне акціонерне товариство</w:t>
      </w:r>
      <w:r w:rsidRPr="0094620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Pr="0094620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Біолік</w:t>
      </w:r>
      <w:proofErr w:type="spellEnd"/>
      <w:r w:rsidRPr="0094620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", Україна</w:t>
      </w:r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до окремого рішення Державної служби України з лікарських засобів та контролю за наркотиками.</w:t>
      </w:r>
    </w:p>
    <w:p w:rsidR="00946200" w:rsidRPr="00946200" w:rsidRDefault="00946200" w:rsidP="009462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лікарського засобу  </w:t>
      </w:r>
      <w:r w:rsidR="002B6EEF" w:rsidRPr="002B6EE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БІОСЕПТ, розчин для зовнішнього застосування 96% по 100 </w:t>
      </w:r>
      <w:proofErr w:type="spellStart"/>
      <w:r w:rsidR="002B6EEF" w:rsidRPr="002B6EE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="002B6EEF" w:rsidRPr="002B6EE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у флаконах або банках, серій 010521, 020521, 050219, 020219, 040219, 030220, 020320, 010220, 050219, з маркуванням виробника Приватне акціонерне товариство "</w:t>
      </w:r>
      <w:proofErr w:type="spellStart"/>
      <w:r w:rsidR="002B6EEF" w:rsidRPr="002B6EE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Біолік</w:t>
      </w:r>
      <w:proofErr w:type="spellEnd"/>
      <w:r w:rsidR="002B6EEF" w:rsidRPr="002B6EE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", Україна</w:t>
      </w:r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</w:p>
    <w:p w:rsidR="00946200" w:rsidRPr="00946200" w:rsidRDefault="00946200" w:rsidP="009462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вжити заходи щодо вилучення його з обігу </w:t>
      </w:r>
      <w:r w:rsidRPr="0094620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шляхом вміщення в карантин.</w:t>
      </w:r>
    </w:p>
    <w:p w:rsidR="00946200" w:rsidRPr="00946200" w:rsidRDefault="00946200" w:rsidP="009462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Суб’єкту господарювання, при виявленні вказаного лікарського засобу, повідомити територіальний орган </w:t>
      </w:r>
      <w:proofErr w:type="spellStart"/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виконання даного розпорядження. При наступних поставках лікарського засобу суб’єкт господарювання повинен вжити заходів щодо запобігання придбанню, реалізації та застосуванню лікарського засобу, нав</w:t>
      </w:r>
      <w:r w:rsidR="002B6EE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еденого в даному розпорядженні.</w:t>
      </w:r>
    </w:p>
    <w:p w:rsidR="00946200" w:rsidRPr="00946200" w:rsidRDefault="00946200" w:rsidP="009462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</w:t>
      </w:r>
      <w:r w:rsidR="002B6EE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кслужби</w:t>
      </w:r>
      <w:proofErr w:type="spellEnd"/>
      <w:r w:rsidR="002B6EE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розташування.</w:t>
      </w:r>
    </w:p>
    <w:p w:rsidR="00B068CB" w:rsidRPr="00B068CB" w:rsidRDefault="00946200" w:rsidP="009462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4620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>Невиконання даного розпорядження тягне за собою відповідальність згідно чинного законодавства України.</w:t>
      </w:r>
    </w:p>
    <w:p w:rsidR="00D51F25" w:rsidRDefault="00D51F25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7C4727"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9</w:t>
      </w:r>
      <w:r w:rsidR="002B6EE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876</w:t>
      </w:r>
      <w:r w:rsidR="007C4727"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-001.2/002.0/17-21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 w:rsidR="002B6EE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 w:rsid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7C4727" w:rsidRDefault="007C4727" w:rsidP="007C47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8D0591" w:rsidRPr="008D0591" w:rsidRDefault="008D0591" w:rsidP="008D05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У відповідності до Конституції України,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статтей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3.1.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№ 126/20439, "Порядку контролю якості лікарських засобів під час оптової та роздрібної торгівлі", затвердженого наказом МОЗ України від 29.09.2014 № 677, зареєстрованого Міністерством юстиції України від 26.11.2014 за № 1515/26292, та на підставі інформації Національної поліції України від 16.11.2021 № 38838 кл/24/9/4-21 щодо виявлення на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безліцензійному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складі підозрілого щодо фальсифікації лікарського засобу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:</w:t>
      </w:r>
    </w:p>
    <w:p w:rsidR="008D0591" w:rsidRPr="008D0591" w:rsidRDefault="008D0591" w:rsidP="008D05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ТИМЧАСОВО ЗАБОРОНЯЮ</w:t>
      </w: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реалізацію та застосування лікарського засобу  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БІОСЕПТ 70, розчин для зовнішнього застосування 70% по 100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мл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у флаконах або банках, серій 010521, 040220, 020220, 010220, з маркуванням виробника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ПрАТ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Біолік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", Україна</w:t>
      </w: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, до окремого рішення Державної служби України з лікарських засобів та контролю за наркотиками.</w:t>
      </w:r>
    </w:p>
    <w:p w:rsidR="008D0591" w:rsidRPr="008D0591" w:rsidRDefault="008D0591" w:rsidP="008D05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лікарського засобу  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БІОСЕПТ 70, розчин для зовнішнього застосування 70% по 100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мл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у флаконах або банках, серій 010521, 040220, 020220, 010220, з маркуванням виробника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ПрАТ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Біолік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", Україна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.</w:t>
      </w:r>
    </w:p>
    <w:p w:rsidR="008D0591" w:rsidRPr="008D0591" w:rsidRDefault="008D0591" w:rsidP="008D05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вжити заходи щодо вилучення його з обігу 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шляхом вміщення в карантин.</w:t>
      </w:r>
    </w:p>
    <w:p w:rsidR="008D0591" w:rsidRPr="008D0591" w:rsidRDefault="008D0591" w:rsidP="008D05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Суб’єкту господарювання, при виявленні вказаного лікарського засобу, повідомити територіальний орган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виконання даного розпорядження. При наступних поставках лікарського засобу суб’єкт господарювання повинен вжити заходів щодо запобігання придбанню, реалізації та застосуванню лікарського засобу, нав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еденого в даному розпорядженні.</w:t>
      </w:r>
    </w:p>
    <w:p w:rsidR="008D0591" w:rsidRPr="008D0591" w:rsidRDefault="008D0591" w:rsidP="008D05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Держлі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кслужби</w:t>
      </w:r>
      <w:proofErr w:type="spellEnd"/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за місцем розташування.</w:t>
      </w:r>
    </w:p>
    <w:p w:rsidR="00946200" w:rsidRDefault="008D0591" w:rsidP="008D05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чинного законодавства України.</w:t>
      </w:r>
    </w:p>
    <w:p w:rsidR="008D0591" w:rsidRDefault="008D0591" w:rsidP="008D05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87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3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-001.2/002.0/17-21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8D0591" w:rsidRDefault="008D0591" w:rsidP="008D0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BA7BB1" w:rsidRPr="008D0591" w:rsidRDefault="00BA7BB1" w:rsidP="00BA7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lastRenderedPageBreak/>
        <w:t xml:space="preserve">У відповідності до Конституції України,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статтей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3.1.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№ 126/20439, "Порядку контролю якості лікарських засобів під час оптової та роздрібної торгівлі", затвердженого наказом МОЗ України від 29.09.2014 № 677, зареєстрованого Міністерством юстиції України від 26.11.2014 за № 1515/26292, та на підставі інформації Національної поліції України від 16.11.2021 № 38838 кл/24/9/4-21 щодо виявлення на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безліцензійному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складі підозрілого щодо фальсифікації лікарського засобу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:</w:t>
      </w:r>
    </w:p>
    <w:p w:rsidR="00BA7BB1" w:rsidRPr="008D0591" w:rsidRDefault="00BA7BB1" w:rsidP="00BA7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ТИМЧАСОВО ЗАБОРОНЯЮ</w:t>
      </w: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реалізацію та застосування лікарського засобу 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ЕТИЛО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СЕПТ 70, розчин 70% по 100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мл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у флаконах, серій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020420, 010119, 020420, 010220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, з маркуванням виробника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ПрАТ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Біолік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", Україна</w:t>
      </w: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, до окремого рішення Державної служби України з лікарських засобів та контролю за наркотиками.</w:t>
      </w:r>
    </w:p>
    <w:p w:rsidR="00BA7BB1" w:rsidRPr="008D0591" w:rsidRDefault="00BA7BB1" w:rsidP="00BA7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лікарського засобу  </w:t>
      </w:r>
      <w:r w:rsidR="00744A86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ЕТИЛО</w:t>
      </w:r>
      <w:r w:rsidR="00744A86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СЕПТ 70, розчин 70% по 100 </w:t>
      </w:r>
      <w:proofErr w:type="spellStart"/>
      <w:r w:rsidR="00744A86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мл</w:t>
      </w:r>
      <w:proofErr w:type="spellEnd"/>
      <w:r w:rsidR="00744A86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у флаконах, серій </w:t>
      </w:r>
      <w:r w:rsidR="00744A86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020420, 010119, 020420, 010220</w:t>
      </w:r>
      <w:r w:rsidR="00744A86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, з маркуванням виробника </w:t>
      </w:r>
      <w:proofErr w:type="spellStart"/>
      <w:r w:rsidR="00744A86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ПрАТ</w:t>
      </w:r>
      <w:proofErr w:type="spellEnd"/>
      <w:r w:rsidR="00744A86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="00744A86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Біолік</w:t>
      </w:r>
      <w:proofErr w:type="spellEnd"/>
      <w:r w:rsidR="00744A86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", Україна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.</w:t>
      </w:r>
    </w:p>
    <w:p w:rsidR="00BA7BB1" w:rsidRPr="008D0591" w:rsidRDefault="00BA7BB1" w:rsidP="00BA7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вжити заходи щодо вилучення його з обігу 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шляхом вміщення в карантин.</w:t>
      </w:r>
    </w:p>
    <w:p w:rsidR="00BA7BB1" w:rsidRPr="008D0591" w:rsidRDefault="00BA7BB1" w:rsidP="00BA7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Суб’єкту господарювання, при виявленні вказаного лікарського засобу, повідомити територіальний орган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виконання даного розпорядження. При наступних поставках лікарського засобу суб’єкт господарювання повинен вжити заходів щодо запобігання придбанню, реалізації та застосуванню лікарського засобу, нав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еденого в даному розпорядженні.</w:t>
      </w:r>
    </w:p>
    <w:p w:rsidR="00BA7BB1" w:rsidRPr="008D0591" w:rsidRDefault="00BA7BB1" w:rsidP="00BA7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Держлі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кслужби</w:t>
      </w:r>
      <w:proofErr w:type="spellEnd"/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за місцем розташування.</w:t>
      </w:r>
    </w:p>
    <w:p w:rsidR="00BA7BB1" w:rsidRDefault="00BA7BB1" w:rsidP="00BA7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чинного законодавства України.</w:t>
      </w:r>
    </w:p>
    <w:p w:rsidR="00BA7BB1" w:rsidRDefault="00BA7BB1" w:rsidP="00BA7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87</w:t>
      </w:r>
      <w:r w:rsidR="00602CB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4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-001.2/002.0/17-21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BA7BB1" w:rsidRDefault="00BA7BB1" w:rsidP="00BA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34766C" w:rsidRPr="008D0591" w:rsidRDefault="0034766C" w:rsidP="003476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У відповідності до Конституції України,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статтей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3.1.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№ 126/20439, "Порядку контролю якості лікарських засобів під час оптової </w:t>
      </w: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lastRenderedPageBreak/>
        <w:t xml:space="preserve">та роздрібної торгівлі", затвердженого наказом МОЗ України від 29.09.2014 № 677, зареєстрованого Міністерством юстиції України від 26.11.2014 за № 1515/26292, та на підставі інформації Національної поліції України від 16.11.2021 № 38838 кл/24/9/4-21 щодо виявлення на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безліцензійному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складі підозрілого щодо фальсифікації лікарського засобу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:</w:t>
      </w:r>
    </w:p>
    <w:p w:rsidR="0034766C" w:rsidRPr="008D0591" w:rsidRDefault="0034766C" w:rsidP="003476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ТИМЧАСОВО ЗАБОРОНЯЮ</w:t>
      </w: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реалізацію та застосування лікарського засобу 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СПИРТ ЕТИЛОВИЙ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96%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, розчин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для зовнішнього застосування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96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% по 100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мл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у флаконах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скляних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, серій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060420, 010521, 020521, 040521, 070420, 050719, 010220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, з маркуванням виробника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ПрАТ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Біолік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", Україна</w:t>
      </w: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, до окремого рішення Державної служби України з лікарських засобів та контролю за наркотиками.</w:t>
      </w:r>
    </w:p>
    <w:p w:rsidR="0034766C" w:rsidRPr="008D0591" w:rsidRDefault="0034766C" w:rsidP="003476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лікарського засобу  </w:t>
      </w:r>
      <w:r w:rsidR="001F7A1B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СПИРТ ЕТИЛОВИЙ</w:t>
      </w:r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 w:rsidR="001F7A1B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96%</w:t>
      </w:r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, розчин</w:t>
      </w:r>
      <w:r w:rsidR="001F7A1B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для зовнішнього застосування</w:t>
      </w:r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 w:rsidR="001F7A1B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96</w:t>
      </w:r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% по 100 </w:t>
      </w:r>
      <w:proofErr w:type="spellStart"/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мл</w:t>
      </w:r>
      <w:proofErr w:type="spellEnd"/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у флаконах</w:t>
      </w:r>
      <w:r w:rsidR="001F7A1B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скляних</w:t>
      </w:r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, серій </w:t>
      </w:r>
      <w:r w:rsidR="001F7A1B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060420, 010521, 020521, 040521, 070420, 050719, 010220</w:t>
      </w:r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, з маркуванням виробника </w:t>
      </w:r>
      <w:proofErr w:type="spellStart"/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ПрАТ</w:t>
      </w:r>
      <w:proofErr w:type="spellEnd"/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Біолік</w:t>
      </w:r>
      <w:proofErr w:type="spellEnd"/>
      <w:r w:rsidR="001F7A1B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", Україна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.</w:t>
      </w:r>
    </w:p>
    <w:p w:rsidR="0034766C" w:rsidRPr="008D0591" w:rsidRDefault="0034766C" w:rsidP="003476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вжити заходи щодо вилучення його з обігу 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шляхом вміщення в карантин.</w:t>
      </w:r>
    </w:p>
    <w:p w:rsidR="0034766C" w:rsidRPr="008D0591" w:rsidRDefault="0034766C" w:rsidP="003476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Суб’єкту господарювання, при виявленні вказаного лікарського засобу, повідомити територіальний орган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виконання даного розпорядження. При наступних поставках лікарського засобу суб’єкт господарювання повинен вжити заходів щодо запобігання придбанню, реалізації та застосуванню лікарського засобу, нав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еденого в даному розпорядженні.</w:t>
      </w:r>
    </w:p>
    <w:p w:rsidR="0034766C" w:rsidRPr="008D0591" w:rsidRDefault="0034766C" w:rsidP="003476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Держлі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кслужби</w:t>
      </w:r>
      <w:proofErr w:type="spellEnd"/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за місцем розташування.</w:t>
      </w:r>
    </w:p>
    <w:p w:rsidR="0034766C" w:rsidRDefault="0034766C" w:rsidP="003476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чинного законодавства України.</w:t>
      </w:r>
    </w:p>
    <w:p w:rsidR="008D0591" w:rsidRDefault="0034766C" w:rsidP="003476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87</w:t>
      </w:r>
      <w:r w:rsidR="001F7A1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-001.2/002.0/17-21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95269" w:rsidRDefault="00295269" w:rsidP="002952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295269" w:rsidRPr="008D0591" w:rsidRDefault="00295269" w:rsidP="0029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У відповідності до Конституції України,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статтей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3.1.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№ 126/20439, "Порядку контролю якості лікарських засобів під час оптової та роздрібної торгівлі", затвердженого наказом МОЗ України від 29.09.2014 № 677, зареєстрованого Міністерством юстиції України від 26.11.2014 за № 1515/26292, та на підставі інформації Національної поліції України від 16.11.2021 № 38838 кл/24/9/4-21 щодо виявлення на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безліцензійному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складі підозрілого щодо фальсифікації лікарського засобу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:</w:t>
      </w:r>
    </w:p>
    <w:p w:rsidR="00295269" w:rsidRPr="008D0591" w:rsidRDefault="00295269" w:rsidP="0029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lastRenderedPageBreak/>
        <w:t>ТИМЧАСОВО ЗАБОРОНЯЮ</w:t>
      </w: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реалізацію та застосування лікарського засобу 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СПИРТ ЕТИЛОВИЙ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70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%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, розчин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70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% по 100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мл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у флаконах, сері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ї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010521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, з маркуванням виробника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ПрАТ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Біолік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", Україна</w:t>
      </w: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, до окремого рішення Державної служби України з лікарських засобів та контролю за наркотиками.</w:t>
      </w:r>
    </w:p>
    <w:p w:rsidR="00295269" w:rsidRPr="008D0591" w:rsidRDefault="00295269" w:rsidP="0029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лікарського засобу 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СПИРТ ЕТИЛОВИЙ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70%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, розчин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70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% по 100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мл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у флаконах, сері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ї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010521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, з маркуванням виробника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ПрАТ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Біолік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", Україна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.</w:t>
      </w:r>
    </w:p>
    <w:p w:rsidR="00295269" w:rsidRPr="008D0591" w:rsidRDefault="00295269" w:rsidP="0029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вжити заходи щодо вилучення його з обігу 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шляхом вміщення в карантин.</w:t>
      </w:r>
    </w:p>
    <w:p w:rsidR="00295269" w:rsidRPr="008D0591" w:rsidRDefault="00295269" w:rsidP="0029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Суб’єкту господарювання, при виявленні вказаного лікарського засобу, повідомити територіальний орган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виконання даного розпорядження. При наступних поставках лікарського засобу суб’єкт господарювання повинен вжити заходів щодо запобігання придбанню, реалізації та застосуванню лікарського засобу, нав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еденого в даному розпорядженні.</w:t>
      </w:r>
    </w:p>
    <w:p w:rsidR="00295269" w:rsidRPr="008D0591" w:rsidRDefault="00295269" w:rsidP="0029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Держлі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кслужби</w:t>
      </w:r>
      <w:proofErr w:type="spellEnd"/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за місцем розташування.</w:t>
      </w:r>
    </w:p>
    <w:p w:rsidR="00295269" w:rsidRDefault="00295269" w:rsidP="0029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чинного законодавства України.</w:t>
      </w:r>
    </w:p>
    <w:p w:rsidR="00295269" w:rsidRDefault="00295269" w:rsidP="0029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80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-001.2/002.0/17-21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95269" w:rsidRDefault="00295269" w:rsidP="002952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3F586B" w:rsidRPr="008D0591" w:rsidRDefault="003F586B" w:rsidP="003F5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У відповідності до Конституції України,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статтей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3.1.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№ 126/20439, "Порядку контролю якості лікарських засобів під час оптової та роздрібної торгівлі", затвердженого наказом МОЗ України від 29.09.2014 № 677, зареєстрованого Міністерством юстиції України від 26.11.2014 за № 1515/26292, та на підставі інформації Національної поліції України від 16.11.2021 № 38838 кл/24/9/4-21 щодо виявлення на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безліцензійному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складі підозрілого щодо фальсифікації лікарського засобу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:</w:t>
      </w:r>
    </w:p>
    <w:p w:rsidR="003F586B" w:rsidRPr="008D0591" w:rsidRDefault="003F586B" w:rsidP="003F5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ТИМЧАСОВО ЗАБОРОНЯЮ</w:t>
      </w: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реалізацію та застосування лікарського засобу  </w:t>
      </w:r>
      <w:r w:rsidR="0088094C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ЕТИЛОСЕПТ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 w:rsidR="0088094C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96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, розчин</w:t>
      </w:r>
      <w:r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 w:rsidR="0088094C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96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% по 100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мл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у флаконах</w:t>
      </w:r>
      <w:r w:rsidR="0088094C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скляних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, сері</w:t>
      </w:r>
      <w:r w:rsidR="0088094C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й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 w:rsidR="0088094C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010521, 020521, 020719, 020420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, з маркуванням виробника 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ПрАТ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Біолік</w:t>
      </w:r>
      <w:proofErr w:type="spellEnd"/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", Україна</w:t>
      </w: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, до окремого рішення Державної служби України з лікарських засобів та контролю за наркотиками.</w:t>
      </w:r>
    </w:p>
    <w:p w:rsidR="003F586B" w:rsidRPr="008D0591" w:rsidRDefault="003F586B" w:rsidP="003F5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лікарського засобу  </w:t>
      </w:r>
      <w:r w:rsidR="00073B39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ЕТИЛОСЕПТ</w:t>
      </w:r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 w:rsidR="00073B39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96</w:t>
      </w:r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, розчин</w:t>
      </w:r>
      <w:r w:rsidR="00073B39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96</w:t>
      </w:r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% по 100 </w:t>
      </w:r>
      <w:proofErr w:type="spellStart"/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мл</w:t>
      </w:r>
      <w:proofErr w:type="spellEnd"/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у флаконах</w:t>
      </w:r>
      <w:r w:rsidR="00073B39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 w:rsidR="00073B39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lastRenderedPageBreak/>
        <w:t>скляних</w:t>
      </w:r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, сері</w:t>
      </w:r>
      <w:r w:rsidR="00073B39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й</w:t>
      </w:r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</w:t>
      </w:r>
      <w:r w:rsidR="00073B39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010521, 020521, 020719, 020420</w:t>
      </w:r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, з маркуванням виробника </w:t>
      </w:r>
      <w:proofErr w:type="spellStart"/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ПрАТ</w:t>
      </w:r>
      <w:proofErr w:type="spellEnd"/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Біолік</w:t>
      </w:r>
      <w:proofErr w:type="spellEnd"/>
      <w:r w:rsidR="00073B39"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", Україна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.</w:t>
      </w:r>
    </w:p>
    <w:p w:rsidR="003F586B" w:rsidRPr="008D0591" w:rsidRDefault="003F586B" w:rsidP="003F5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вжити заходи щодо вилучення його з обігу </w:t>
      </w:r>
      <w:r w:rsidRPr="008D0591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val="uk-UA" w:eastAsia="ru-RU"/>
        </w:rPr>
        <w:t>шляхом вміщення в карантин.</w:t>
      </w:r>
    </w:p>
    <w:p w:rsidR="003F586B" w:rsidRPr="008D0591" w:rsidRDefault="003F586B" w:rsidP="003F5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Суб’єкту господарювання, при виявленні вказаного лікарського засобу, повідомити територіальний орган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виконання даного розпорядження. При наступних поставках лікарського засобу суб’єкт господарювання повинен вжити заходів щодо запобігання придбанню, реалізації та застосуванню лікарського засобу, нав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еденого в даному розпорядженні.</w:t>
      </w:r>
    </w:p>
    <w:p w:rsidR="003F586B" w:rsidRPr="008D0591" w:rsidRDefault="003F586B" w:rsidP="003F5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Держлі</w:t>
      </w:r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кслужби</w:t>
      </w:r>
      <w:proofErr w:type="spellEnd"/>
      <w:r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 xml:space="preserve"> за місцем розташування.</w:t>
      </w:r>
    </w:p>
    <w:p w:rsidR="003F586B" w:rsidRDefault="003F586B" w:rsidP="003F5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8D0591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чинного законодавства України.</w:t>
      </w:r>
    </w:p>
    <w:p w:rsidR="00295269" w:rsidRPr="00946200" w:rsidRDefault="003F586B" w:rsidP="003F5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="0043151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77</w:t>
      </w:r>
      <w:bookmarkStart w:id="0" w:name="_GoBack"/>
      <w:bookmarkEnd w:id="0"/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-001.2/002.0/17-21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7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8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9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36E7B"/>
    <w:rsid w:val="0004728C"/>
    <w:rsid w:val="00073B39"/>
    <w:rsid w:val="0008725B"/>
    <w:rsid w:val="000C3B77"/>
    <w:rsid w:val="000C5644"/>
    <w:rsid w:val="000F5EE1"/>
    <w:rsid w:val="0011785B"/>
    <w:rsid w:val="0013352F"/>
    <w:rsid w:val="00140C51"/>
    <w:rsid w:val="00142A54"/>
    <w:rsid w:val="00171A6B"/>
    <w:rsid w:val="001D5FA2"/>
    <w:rsid w:val="001F04EB"/>
    <w:rsid w:val="001F7A1B"/>
    <w:rsid w:val="002322B7"/>
    <w:rsid w:val="00247578"/>
    <w:rsid w:val="002554FA"/>
    <w:rsid w:val="0026322D"/>
    <w:rsid w:val="00267A5A"/>
    <w:rsid w:val="0027437C"/>
    <w:rsid w:val="00281A62"/>
    <w:rsid w:val="00295269"/>
    <w:rsid w:val="002B6EEF"/>
    <w:rsid w:val="0031234D"/>
    <w:rsid w:val="00330901"/>
    <w:rsid w:val="0034766C"/>
    <w:rsid w:val="00361529"/>
    <w:rsid w:val="00373BD5"/>
    <w:rsid w:val="003A0871"/>
    <w:rsid w:val="003F586B"/>
    <w:rsid w:val="003F6008"/>
    <w:rsid w:val="00411012"/>
    <w:rsid w:val="00411CFA"/>
    <w:rsid w:val="004215D2"/>
    <w:rsid w:val="00421D87"/>
    <w:rsid w:val="00431518"/>
    <w:rsid w:val="00433E5C"/>
    <w:rsid w:val="00452907"/>
    <w:rsid w:val="004633F8"/>
    <w:rsid w:val="004772AE"/>
    <w:rsid w:val="004A4354"/>
    <w:rsid w:val="004C13AD"/>
    <w:rsid w:val="004C3FEB"/>
    <w:rsid w:val="004F56AF"/>
    <w:rsid w:val="00530187"/>
    <w:rsid w:val="0056206A"/>
    <w:rsid w:val="005772F5"/>
    <w:rsid w:val="00592D6E"/>
    <w:rsid w:val="005A49EC"/>
    <w:rsid w:val="005C1F95"/>
    <w:rsid w:val="005E2A46"/>
    <w:rsid w:val="005E3FF3"/>
    <w:rsid w:val="00602CB4"/>
    <w:rsid w:val="0060487D"/>
    <w:rsid w:val="006155FE"/>
    <w:rsid w:val="00654FC8"/>
    <w:rsid w:val="0066069C"/>
    <w:rsid w:val="0067449E"/>
    <w:rsid w:val="006869EF"/>
    <w:rsid w:val="006A2E37"/>
    <w:rsid w:val="006E21CF"/>
    <w:rsid w:val="00712D26"/>
    <w:rsid w:val="007134DB"/>
    <w:rsid w:val="00726C85"/>
    <w:rsid w:val="007321F2"/>
    <w:rsid w:val="00744A86"/>
    <w:rsid w:val="007577BD"/>
    <w:rsid w:val="00766BED"/>
    <w:rsid w:val="007719A5"/>
    <w:rsid w:val="00797790"/>
    <w:rsid w:val="007C2629"/>
    <w:rsid w:val="007C4727"/>
    <w:rsid w:val="00822835"/>
    <w:rsid w:val="00863487"/>
    <w:rsid w:val="0088094C"/>
    <w:rsid w:val="00880F63"/>
    <w:rsid w:val="008D0591"/>
    <w:rsid w:val="008D66F2"/>
    <w:rsid w:val="008E1E78"/>
    <w:rsid w:val="008F2B1C"/>
    <w:rsid w:val="00907BCE"/>
    <w:rsid w:val="00940FA3"/>
    <w:rsid w:val="0094349D"/>
    <w:rsid w:val="00946200"/>
    <w:rsid w:val="00946C38"/>
    <w:rsid w:val="009567FF"/>
    <w:rsid w:val="009A7A53"/>
    <w:rsid w:val="009D1D19"/>
    <w:rsid w:val="009D483A"/>
    <w:rsid w:val="009E4482"/>
    <w:rsid w:val="00A7763D"/>
    <w:rsid w:val="00A90A7C"/>
    <w:rsid w:val="00AB46F9"/>
    <w:rsid w:val="00AC1BED"/>
    <w:rsid w:val="00AE6427"/>
    <w:rsid w:val="00AE6E8A"/>
    <w:rsid w:val="00B068CB"/>
    <w:rsid w:val="00B16F8D"/>
    <w:rsid w:val="00B173CC"/>
    <w:rsid w:val="00B53417"/>
    <w:rsid w:val="00B605D5"/>
    <w:rsid w:val="00BA52B3"/>
    <w:rsid w:val="00BA7BB1"/>
    <w:rsid w:val="00BF101C"/>
    <w:rsid w:val="00BF6BA0"/>
    <w:rsid w:val="00C14A66"/>
    <w:rsid w:val="00C1516C"/>
    <w:rsid w:val="00C31773"/>
    <w:rsid w:val="00C37CD3"/>
    <w:rsid w:val="00C40998"/>
    <w:rsid w:val="00C62B95"/>
    <w:rsid w:val="00CA7FE2"/>
    <w:rsid w:val="00D30FD2"/>
    <w:rsid w:val="00D34808"/>
    <w:rsid w:val="00D51F25"/>
    <w:rsid w:val="00D866EB"/>
    <w:rsid w:val="00D95EE7"/>
    <w:rsid w:val="00DA22DE"/>
    <w:rsid w:val="00DC279E"/>
    <w:rsid w:val="00DC3A56"/>
    <w:rsid w:val="00DE7E80"/>
    <w:rsid w:val="00E14E11"/>
    <w:rsid w:val="00E34668"/>
    <w:rsid w:val="00E73A3E"/>
    <w:rsid w:val="00E77FE2"/>
    <w:rsid w:val="00E80703"/>
    <w:rsid w:val="00E86F81"/>
    <w:rsid w:val="00E944AB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  <w:rsid w:val="00FB64A7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-mex.dls.gov.ua/QLA/Doc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l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D625-D585-4E91-8015-10610887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6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126</cp:revision>
  <dcterms:created xsi:type="dcterms:W3CDTF">2021-08-03T11:17:00Z</dcterms:created>
  <dcterms:modified xsi:type="dcterms:W3CDTF">2021-11-23T15:45:00Z</dcterms:modified>
</cp:coreProperties>
</file>