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4D69D4" w:rsidRPr="004D69D4" w:rsidRDefault="004D69D4" w:rsidP="004D69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3.2.2.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здоров'я України від 22.11.2011 № 809, зареєстрованим в Міністерстві юстиції України 30.01.2012 за № 126/20439, Правил утилізації та знищення лікарських засобів, затверджених наказом Міністерства охорони здоров'я України від 24.04.2015 № 242, зареєстрованим в Міністерстві юстиції України 18.05.2015 за № 550/26995, на підставі інформації щодо виявлення в обігу на території України незареєстрованого лікарського засобу «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Lysodren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500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tablets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серій 6J04317, 3V04873, з маркуванням «Bristol-Myers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Squibb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Canada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який за інформацією представника власника реєстраційного посвідчення препарату є фальсифікованим, з метою активної протидії поширенню фальсифікованих лікарських засобів, що можуть спричинити розвиток хвороби або неналежне лікування, нести потенційну загрозу життю та здоров’ю населення і є небезпечними:</w:t>
      </w:r>
    </w:p>
    <w:p w:rsidR="004D69D4" w:rsidRPr="004D69D4" w:rsidRDefault="004D69D4" w:rsidP="004D69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фальсифікованого лікарського засобу «</w:t>
      </w:r>
      <w:proofErr w:type="spellStart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Lysodren</w:t>
      </w:r>
      <w:proofErr w:type="spellEnd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500 </w:t>
      </w:r>
      <w:proofErr w:type="spellStart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tablets</w:t>
      </w:r>
      <w:proofErr w:type="spellEnd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серій 6J04317, 3V04873, з маркуванням «Bristol-Myers </w:t>
      </w:r>
      <w:proofErr w:type="spellStart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Squibb</w:t>
      </w:r>
      <w:proofErr w:type="spellEnd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Canada</w:t>
      </w:r>
      <w:proofErr w:type="spellEnd"/>
      <w:r w:rsidRPr="004D69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». </w:t>
      </w:r>
    </w:p>
    <w:p w:rsidR="004D69D4" w:rsidRPr="004D69D4" w:rsidRDefault="004D69D4" w:rsidP="004D69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вище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4D69D4" w:rsidRPr="004D69D4" w:rsidRDefault="004D69D4" w:rsidP="004D69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068CB" w:rsidRPr="00B068CB" w:rsidRDefault="004D69D4" w:rsidP="004D69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1026</w:t>
      </w:r>
      <w:r w:rsidR="002B6EE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7C4727" w:rsidRDefault="007C4727" w:rsidP="007C4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E126E" w:rsidRDefault="004E126E" w:rsidP="007C4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4E126E" w:rsidRDefault="004E126E" w:rsidP="004E12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 902, </w:t>
      </w:r>
      <w:r w:rsidRPr="004E12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здоров'я України від 22.11.2011 № 809, зареєстрованим в Міністерстві юстиції України 30.01.2012 за № 126/20439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 677,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зареєстрованим в Міністерстві юстиції України 26.11.2014 за № 1515/26292, Правил утилізації та знищення лікарських засобів, затверджених наказом Міністерства охорони здоров’я України від 24.04.2015 № 242, зареєстрованим в Міністерстві юстиції України 18.05.2015 за № 550/26995, на підставі інформації представника власника реєстраційного посвідчення препарату щодо виявлення в обігу на території України незареєстрованого лікарського засобу «</w:t>
      </w:r>
      <w:proofErr w:type="spellStart"/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Lysodren</w:t>
      </w:r>
      <w:proofErr w:type="spellEnd"/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500 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mg</w:t>
      </w:r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tablets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серій </w:t>
      </w:r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J</w:t>
      </w:r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04317, 3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V</w:t>
      </w:r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04873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з маркуванням «</w:t>
      </w:r>
      <w:proofErr w:type="spellStart"/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Brystol</w:t>
      </w:r>
      <w:proofErr w:type="spellEnd"/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Myers</w:t>
      </w:r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Squibb</w:t>
      </w:r>
      <w:r w:rsidR="00B62F6E"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Canada</w:t>
      </w:r>
      <w:r w:rsid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та з метою активної протидії поширенню незареєстрованих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здоров’ю населення:</w:t>
      </w:r>
    </w:p>
    <w:p w:rsidR="00B62F6E" w:rsidRDefault="00B62F6E" w:rsidP="004E12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всіх серій незареєстрованого 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лікарського засобу «</w:t>
      </w:r>
      <w:proofErr w:type="spellStart"/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Lysodren</w:t>
      </w:r>
      <w:proofErr w:type="spellEnd"/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500 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mg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tablets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», з маркуванням «</w:t>
      </w:r>
      <w:proofErr w:type="spellStart"/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Brystol</w:t>
      </w:r>
      <w:proofErr w:type="spellEnd"/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-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Myers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Squibb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Canada</w:t>
      </w:r>
      <w:r w:rsidRPr="00B62F6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</w:t>
      </w:r>
      <w:r w:rsidRPr="00B62F6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B62F6E" w:rsidRPr="004D69D4" w:rsidRDefault="00B62F6E" w:rsidP="00B6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вище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B62F6E" w:rsidRPr="004D69D4" w:rsidRDefault="00B62F6E" w:rsidP="00B6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62F6E" w:rsidRPr="00B068CB" w:rsidRDefault="00B62F6E" w:rsidP="00B6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B62F6E" w:rsidRPr="00B62F6E" w:rsidRDefault="00B62F6E" w:rsidP="00B6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1026</w:t>
      </w:r>
      <w:r w:rsidR="00AA6F0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AA6F0F" w:rsidRDefault="00AA6F0F" w:rsidP="00AA6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2379A4" w:rsidRPr="002379A4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ст. 15, ст. 22, ст. 55 Закону України "Основи законодавства України про охорону здоров'я", ст.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3.1.1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иції України від 30.01.2012 за 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№ 126/20439, "Порядку контролю якості лікарських засобів під час оптової та роздрібної торгівлі", затвердженого наказом МОЗ України від 29.09.2014 № 677, 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зареєстрованого Міністерством юстиції України від 26.11.2014 за № 1515/26292, та на підставі встановлення факту невідповідності лікарського засобу  </w:t>
      </w:r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ЦЕДОКСИМ®, порошок для оральної суспензії, 40 мг/5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по 100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у флаконі по 1 флакону разом з градуйованою мірною ложкою у картонній упаковці, серії ODPDM20004А, виробництва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Ауробіндо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Лтд.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Юніт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VI, Блок D, Індія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вимогам методів контролю якості до реєстраційного посвідчення UA/14455/02/01 препарату за показником «</w:t>
      </w:r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Опис відновленої суспензії»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2379A4" w:rsidRPr="002379A4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ЦЕДОКСИМ®, порошок для оральної суспензії, 40 мг/5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по 100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 флаконі по 1 флакону разом з градуйованою мірною ложкою у картонній упаковці, серії ODPDM20004А, виробництва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Ауробіндо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Лтд.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Юніт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VI, Блок D, Індія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до окремого рішення Державної служби України з лікарських засобів та контролю за наркотиками. </w:t>
      </w:r>
    </w:p>
    <w:p w:rsidR="002379A4" w:rsidRPr="002379A4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вище серії лікарського засобу. </w:t>
      </w:r>
    </w:p>
    <w:p w:rsidR="002379A4" w:rsidRPr="002379A4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2379A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шляхом вміщення в карантин.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</w:p>
    <w:p w:rsidR="002379A4" w:rsidRPr="002379A4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наведеного в даному розпорядженні. </w:t>
      </w:r>
    </w:p>
    <w:p w:rsidR="002379A4" w:rsidRPr="002379A4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 </w:t>
      </w:r>
    </w:p>
    <w:p w:rsidR="004E126E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2379A4" w:rsidRPr="00B62F6E" w:rsidRDefault="002379A4" w:rsidP="0023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1026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79A4" w:rsidRDefault="002379A4" w:rsidP="00237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9541A" w:rsidRP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ст. 15, ст. 22, ст. 55 Закону України "Основи законодавства України про охорону здоров'я", ст.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3.1.1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иції України від 30.01.2012 за 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інформації ДП «Державний експертний центр Міністерства охорони здоров’я» щодо сумніву якості лікарського засобу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ЦЕДОКСИМ®, порошок для оральної суспензії, 40 мг/5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по 100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у флаконі по 1 флакону разом з градуйованою мірною ложкою у </w:t>
      </w:r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lastRenderedPageBreak/>
        <w:t>картонній упаковці, серії ODPDM2000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5</w:t>
      </w:r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А, виробництва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Ауробіндо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Лтд. </w:t>
      </w:r>
      <w:proofErr w:type="spellStart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Юніт</w:t>
      </w:r>
      <w:proofErr w:type="spellEnd"/>
      <w:r w:rsidRPr="002379A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VI, Блок D, Індія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 урахуванням листа ТОВ «АБРИЛ ФАРМ» від 21.10.2021 № 225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49541A" w:rsidRP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ЦЕДОКСИМ®, порошок для оральної суспензії, 40 мг/5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по 100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 флаконі по 1 флакону разом з градуйованою мірною ложкою у картонній упаковці, серії ODPDM2000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</w:t>
      </w:r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А, виробництва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Ауробіндо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Лтд. </w:t>
      </w:r>
      <w:proofErr w:type="spellStart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Юніт</w:t>
      </w:r>
      <w:proofErr w:type="spellEnd"/>
      <w:r w:rsidRPr="002379A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VI, Блок D, Індія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49541A" w:rsidRP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вище серії лікарського засобу. </w:t>
      </w:r>
    </w:p>
    <w:p w:rsidR="0049541A" w:rsidRP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2379A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шляхом вміщення в карантин.</w:t>
      </w: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</w:p>
    <w:p w:rsidR="0049541A" w:rsidRP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наведеного в даному розпорядженні. </w:t>
      </w:r>
    </w:p>
    <w:p w:rsidR="0049541A" w:rsidRP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 </w:t>
      </w:r>
    </w:p>
    <w:p w:rsidR="0049541A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379A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2379A4" w:rsidRDefault="0049541A" w:rsidP="00495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bookmarkStart w:id="0" w:name="_GoBack"/>
      <w:bookmarkEnd w:id="0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1234D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62F6E"/>
    <w:rsid w:val="00BA52B3"/>
    <w:rsid w:val="00BA7BB1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03FD-FAA0-424F-8974-A054D2A7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130</cp:revision>
  <dcterms:created xsi:type="dcterms:W3CDTF">2021-08-03T11:17:00Z</dcterms:created>
  <dcterms:modified xsi:type="dcterms:W3CDTF">2021-12-02T16:10:00Z</dcterms:modified>
</cp:coreProperties>
</file>