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EE5" w:rsidRPr="00031EE5" w:rsidRDefault="00031EE5" w:rsidP="00C6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ПОЯСНЮВАЛЬНА ЗАПИСКА</w:t>
      </w:r>
    </w:p>
    <w:p w:rsidR="00594598" w:rsidRPr="00D15318" w:rsidRDefault="00357FB4" w:rsidP="00C669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проє</w:t>
      </w:r>
      <w:r w:rsidR="00031EE5" w:rsidRPr="00031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кту </w:t>
      </w:r>
      <w:r w:rsidR="00594598" w:rsidRPr="00D15318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постанови Кабінету Міністрів України «Про внесення змін </w:t>
      </w:r>
    </w:p>
    <w:p w:rsidR="003C7CFA" w:rsidRPr="00D15318" w:rsidRDefault="00594598" w:rsidP="00C669F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5318">
        <w:rPr>
          <w:rFonts w:ascii="Times New Roman" w:eastAsia="Calibri" w:hAnsi="Times New Roman" w:cs="Times New Roman"/>
          <w:b/>
          <w:sz w:val="28"/>
          <w:szCs w:val="28"/>
        </w:rPr>
        <w:t>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:rsidR="00042BF6" w:rsidRPr="00042BF6" w:rsidRDefault="00ED270B" w:rsidP="00042B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</w:t>
      </w:r>
      <w:r w:rsidR="00042BF6" w:rsidRPr="00042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42BF6" w:rsidRDefault="00042BF6" w:rsidP="00911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Приведення Ліцензійних умов </w:t>
      </w:r>
      <w:r w:rsidRPr="00042BF6">
        <w:rPr>
          <w:rFonts w:ascii="Times New Roman" w:eastAsia="Calibri" w:hAnsi="Times New Roman" w:cs="Times New Roman"/>
          <w:sz w:val="28"/>
          <w:szCs w:val="28"/>
        </w:rPr>
        <w:t>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</w:t>
      </w:r>
      <w:r w:rsidR="00DE2D94">
        <w:rPr>
          <w:rFonts w:ascii="Times New Roman" w:eastAsia="Calibri" w:hAnsi="Times New Roman" w:cs="Times New Roman"/>
          <w:sz w:val="28"/>
          <w:szCs w:val="28"/>
        </w:rPr>
        <w:t>их фармацевтичних інгредієнтів)</w:t>
      </w:r>
      <w:r w:rsidRPr="00042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відповідність до </w:t>
      </w:r>
      <w:r w:rsidR="006F1897" w:rsidRPr="006F1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Закону України від 15 липня 2021 року </w:t>
      </w:r>
      <w:r w:rsidR="006F1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6F1897" w:rsidRPr="006F1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1668-IX «Про</w:t>
      </w:r>
      <w:r w:rsidR="004C0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внесення зміни до статті 21 Закону України «Про</w:t>
      </w:r>
      <w:r w:rsidR="006F1897" w:rsidRPr="006F1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лікарські засоби» щодо заборони продажу лікарських засобів особам, які не досягли чотирнадцяти років (малолітнім особам)</w:t>
      </w:r>
    </w:p>
    <w:p w:rsidR="00434ECF" w:rsidRPr="002E318A" w:rsidRDefault="00434ECF" w:rsidP="00911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EE5" w:rsidRDefault="00031EE5" w:rsidP="00C6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31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042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Обгрунтування необхідності прийняття акта</w:t>
      </w:r>
    </w:p>
    <w:p w:rsidR="00906D10" w:rsidRPr="00906D10" w:rsidRDefault="00042BF6" w:rsidP="00906D10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53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Проєкт акта розроблено відповідно</w:t>
      </w:r>
      <w:r w:rsidRPr="00E753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</w:t>
      </w:r>
      <w:r w:rsidR="00A70FD0" w:rsidRPr="00A7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Закону України від 15 липня 2021 року № 1668-IX «Про внесення зміни до статті 21 Закону України «Про лікарські засоби» щодо заборони продажу лікарських засобів особам, які не досягли чотирнадцяти років (малолітнім особам)</w:t>
      </w:r>
    </w:p>
    <w:p w:rsidR="00031EE5" w:rsidRPr="00031EE5" w:rsidRDefault="00042BF6" w:rsidP="00C6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3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31EE5" w:rsidRPr="00031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Суть </w:t>
      </w:r>
      <w:r w:rsidR="009A5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проєкт</w:t>
      </w:r>
      <w:r w:rsidR="00031EE5" w:rsidRPr="00031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акту</w:t>
      </w:r>
    </w:p>
    <w:p w:rsidR="00C51761" w:rsidRDefault="00AD1CF2" w:rsidP="00C669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1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Приведення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у відповідність до Закону України від 15 липня 2021 року                        № 1668-IX «Про внесення зміни до статті 21 Закону України «Про лікарські засоби» щодо заборони продажу лікарських засобів особам, які не досягли чотирнадцяти років (малолітнім особам)</w:t>
      </w:r>
      <w:r w:rsidR="007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шляхом внесення змін у частині</w:t>
      </w:r>
      <w:r w:rsidR="007B02AA" w:rsidRPr="007B02AA">
        <w:t xml:space="preserve"> </w:t>
      </w:r>
      <w:r w:rsidR="007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B02AA" w:rsidRPr="007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еалізаці</w:t>
      </w:r>
      <w:r w:rsidR="007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</w:t>
      </w:r>
      <w:r w:rsidR="007B02AA" w:rsidRPr="007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(відпуск</w:t>
      </w:r>
      <w:r w:rsidR="007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7B02AA" w:rsidRPr="007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лікарських засобів (у тому числі з використанням інформаційно-комунікаційних систем дистанційним способом) малолітнім особам, а також доставка лікарських засобів кінцевому споживачу - малолітній особі забороняється. Якщо у особи, яка безпосередньо здійснює роздрібну торгівлю лікарськими засобами та/або доставку лікарських засобів кінцевому споживачу, виникли сумніви щодо досягнення 14-річного віку покупцем, який купує лікарські засоби, особа, яка безпосередньо здійснює роздрібну торгівлю лікарськими засобами та/або доставку лікарських засобів кінцевому споживачу, повинна звернутися до такого покупця з вимогою пред’явити паспорт громадянина України або інший документ, що підтверджує його вік. У разі відмови покупця надати такий документ реалізація (відпуск) лікарських засобів цій особі забороняється.</w:t>
      </w:r>
      <w:r w:rsidR="007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D1CF2" w:rsidRPr="002E318A" w:rsidRDefault="00AD1CF2" w:rsidP="00C669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EE5" w:rsidRPr="004E0AE9" w:rsidRDefault="00031EE5" w:rsidP="00C6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0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4E0A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E256B2" w:rsidRPr="004E0A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Правові аспекти</w:t>
      </w:r>
    </w:p>
    <w:p w:rsidR="00407FCF" w:rsidRDefault="00407FCF" w:rsidP="00407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4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даній сфері суспільних відносин діють: </w:t>
      </w:r>
    </w:p>
    <w:p w:rsidR="00855B96" w:rsidRDefault="00855B96" w:rsidP="00407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5B96" w:rsidRPr="00414753" w:rsidRDefault="00855B96" w:rsidP="00407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7FCF" w:rsidRPr="00414753" w:rsidRDefault="00407FCF" w:rsidP="00407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4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Господарський кодекс України; </w:t>
      </w:r>
    </w:p>
    <w:p w:rsidR="00407FCF" w:rsidRPr="00414753" w:rsidRDefault="00407FCF" w:rsidP="00407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4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 України «Про лікарські засоби»; </w:t>
      </w:r>
    </w:p>
    <w:p w:rsidR="00407FCF" w:rsidRPr="00414753" w:rsidRDefault="00407FCF" w:rsidP="00407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4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України «Про ліцензування видів господарської діяльності;</w:t>
      </w:r>
    </w:p>
    <w:p w:rsidR="00407FCF" w:rsidRDefault="00407FCF" w:rsidP="00407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4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Постанова Кабінету Міністрів України від 30 листопада 2016 року № 929 «Про затвердження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інгредієнтів)».</w:t>
      </w:r>
    </w:p>
    <w:p w:rsidR="006F5E3E" w:rsidRPr="00414753" w:rsidRDefault="006F5E3E" w:rsidP="00407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529C" w:rsidRPr="00EE09B3" w:rsidRDefault="0051529C" w:rsidP="00515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0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Фінансово-економічне обґрунтування</w:t>
      </w:r>
    </w:p>
    <w:p w:rsidR="00407FCF" w:rsidRPr="0051529C" w:rsidRDefault="0051529C" w:rsidP="00515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Реалізація положень проєкту акта не потребує фінансування з державного  та /або місцевого бюджету.</w:t>
      </w:r>
    </w:p>
    <w:p w:rsidR="009A50B8" w:rsidRPr="00031EE5" w:rsidRDefault="009A50B8" w:rsidP="00C6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EF6" w:rsidRDefault="00533854" w:rsidP="00C6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31EE5" w:rsidRPr="00031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31EE5" w:rsidRPr="0003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EE5" w:rsidRPr="00031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Позиція заінтересованих сторін</w:t>
      </w:r>
    </w:p>
    <w:p w:rsidR="000210A5" w:rsidRPr="000210A5" w:rsidRDefault="000210A5" w:rsidP="000210A5">
      <w:pPr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функціонування і застосування української мови як державної, тому не потребує погодження з уповноваженими представниками всеукраїнських асоціацій органів місцевого самоврядування,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Урядовим уповноваженим з прав осіб з інвалідністю всеукраїнських громадських організацій осіб з інвалідністю, їх спілок, Уповноваженого із захисту державної мови. </w:t>
      </w:r>
    </w:p>
    <w:p w:rsidR="000210A5" w:rsidRPr="000210A5" w:rsidRDefault="000210A5" w:rsidP="000210A5">
      <w:pPr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акта не стосується сфери наукової та науково-технічної діяльності, тому не потребує погодження із Науковим комітетом Національної ради з питань розвитку науки і технологій.</w:t>
      </w:r>
    </w:p>
    <w:p w:rsidR="000210A5" w:rsidRPr="000210A5" w:rsidRDefault="000210A5" w:rsidP="000210A5">
      <w:pPr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акта потребує проведення публічних консультацій шляхом розміщення проєкту акта на офіційному вебсайті </w:t>
      </w:r>
      <w:r w:rsidR="00A916C8"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</w:t>
      </w:r>
      <w:r w:rsidR="00A916C8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A916C8"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A916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16C8"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з лікарських засобів та контролю за наркотиками </w:t>
      </w:r>
      <w:r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 охорони здоров'я України.</w:t>
      </w:r>
    </w:p>
    <w:p w:rsidR="008D2EA1" w:rsidRDefault="000210A5" w:rsidP="000210A5">
      <w:pPr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акта потребує погодження з Міністерством інфраструктури України, Міністерством цифрової трансформації України, Міністерством розвитку економіки, торгівлі та сільського господарства України, Міністерством фінансів України, Антимонопольним комітетом України, Уповноваженим Верховної Ра</w:t>
      </w:r>
      <w:r w:rsidR="00F1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 з прав людини, </w:t>
      </w:r>
      <w:r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0E1"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Уповноваженим Президента Укра</w:t>
      </w:r>
      <w:r w:rsidR="00F1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їни з прав людей з інвалідністю. </w:t>
      </w:r>
      <w:r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акта потребує проведення правової експертизи в Міністерстві юстиції України.</w:t>
      </w:r>
    </w:p>
    <w:p w:rsidR="00F04BEB" w:rsidRPr="00031EE5" w:rsidRDefault="00F04BEB" w:rsidP="000210A5">
      <w:pPr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EE5" w:rsidRDefault="000210A5" w:rsidP="00C6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Оцінка відповідності</w:t>
      </w:r>
    </w:p>
    <w:p w:rsidR="006C6397" w:rsidRPr="006C6397" w:rsidRDefault="006C6397" w:rsidP="006C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Проєкт акта не містить положень, що стосуються зобов’язань України у сфері європейської інтеграції, 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 не містять ризики вчинення </w:t>
      </w:r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корупційних правопорушень та правопорушень, пов’язаних з корупцією, не створюють підстав для дискримінації.</w:t>
      </w:r>
    </w:p>
    <w:p w:rsidR="006C6397" w:rsidRPr="006C6397" w:rsidRDefault="006C6397" w:rsidP="006C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проєкті акта відсутні положення, які містять ризики вчинення корупційних правопорушень та правопорушень, пов’язаних з корупцією.</w:t>
      </w:r>
    </w:p>
    <w:p w:rsidR="006C6397" w:rsidRPr="006C6397" w:rsidRDefault="006C6397" w:rsidP="006C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Антикорупційна, громадська антикорупційна, громадська антидискримінаційна та громадська гендерно-правова експертизи не проводилась.</w:t>
      </w:r>
    </w:p>
    <w:p w:rsidR="00A94B50" w:rsidRPr="006C6397" w:rsidRDefault="006C6397" w:rsidP="006C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 акта потребує проведення антикорупційної експертизи Національним агентством з питань запобігання корупції.</w:t>
      </w:r>
    </w:p>
    <w:p w:rsidR="00A94B50" w:rsidRDefault="00A94B50" w:rsidP="00C6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4B50" w:rsidRDefault="00085E84" w:rsidP="00672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8.Прогноз результатів</w:t>
      </w:r>
    </w:p>
    <w:p w:rsidR="00031EE5" w:rsidRDefault="00031EE5" w:rsidP="006721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E3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Реалізація </w:t>
      </w:r>
      <w:r w:rsidR="009A50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проєкт</w:t>
      </w:r>
      <w:r w:rsidR="00174508" w:rsidRPr="002E3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2E3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акта</w:t>
      </w:r>
      <w:r w:rsidR="00AA70AE" w:rsidRPr="002E3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E2129" w:rsidRPr="002E3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позитивно вплине на ринкове середовище у сфері </w:t>
      </w:r>
      <w:r w:rsidR="00DE2129" w:rsidRPr="002E31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</w:t>
      </w:r>
      <w:r w:rsidR="008D2E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DE2129" w:rsidRPr="002E3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A556D7" w:rsidRPr="002E3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B1D25" w:rsidRDefault="00AB1D25" w:rsidP="006721B8">
      <w:pPr>
        <w:pStyle w:val="a9"/>
        <w:spacing w:before="0"/>
        <w:ind w:right="11" w:firstLine="567"/>
        <w:rPr>
          <w:rFonts w:ascii="Times New Roman" w:hAnsi="Times New Roman"/>
          <w:szCs w:val="28"/>
        </w:rPr>
      </w:pPr>
      <w:r>
        <w:rPr>
          <w:shd w:val="clear" w:color="auto" w:fill="FFFFFF"/>
        </w:rPr>
        <w:t>Реалізація проєкту акта не матиме впливу на розвиток регіонів, підвищення чи зниження спроможності територіальних громад, ринок прац</w:t>
      </w:r>
      <w:r w:rsidR="002F69AB">
        <w:rPr>
          <w:shd w:val="clear" w:color="auto" w:fill="FFFFFF"/>
        </w:rPr>
        <w:t xml:space="preserve">і, рівень зайнятості населення. Реалізація положень проєкту акта не матиме впливу </w:t>
      </w:r>
      <w:r>
        <w:rPr>
          <w:shd w:val="clear" w:color="auto" w:fill="FFFFFF"/>
        </w:rPr>
        <w:t xml:space="preserve">екологію та навколишнє природне середовище, обсяг природних ресурсів, рівень забруднення атмосферного повітря, води, земель, </w:t>
      </w:r>
      <w:r w:rsidR="002F69AB">
        <w:rPr>
          <w:shd w:val="clear" w:color="auto" w:fill="FFFFFF"/>
        </w:rPr>
        <w:t>а також на рівень</w:t>
      </w:r>
      <w:r>
        <w:rPr>
          <w:shd w:val="clear" w:color="auto" w:fill="FFFFFF"/>
        </w:rPr>
        <w:t xml:space="preserve"> забруднення утвореними відходами, </w:t>
      </w:r>
      <w:r w:rsidR="002F69AB">
        <w:rPr>
          <w:shd w:val="clear" w:color="auto" w:fill="FFFFFF"/>
        </w:rPr>
        <w:t xml:space="preserve">та на інші </w:t>
      </w:r>
      <w:r>
        <w:rPr>
          <w:shd w:val="clear" w:color="auto" w:fill="FFFFFF"/>
        </w:rPr>
        <w:t>суспільні відносини.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27"/>
        <w:gridCol w:w="2343"/>
        <w:gridCol w:w="4774"/>
      </w:tblGrid>
      <w:tr w:rsidR="00BC6EA8" w:rsidTr="00642D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642D9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Заінтересована</w:t>
            </w:r>
          </w:p>
          <w:p w:rsidR="00BC6EA8" w:rsidRDefault="00BC6EA8" w:rsidP="00642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сторона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642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642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Пояснення очікуваного впливу</w:t>
            </w:r>
          </w:p>
        </w:tc>
      </w:tr>
      <w:tr w:rsidR="00BC6EA8" w:rsidTr="00642D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642D9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642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Позитивний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507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Врегулювання </w:t>
            </w:r>
            <w:r w:rsidR="00FF5735">
              <w:rPr>
                <w:rFonts w:ascii="Times New Roman" w:hAnsi="Times New Roman"/>
                <w:sz w:val="28"/>
                <w:szCs w:val="28"/>
              </w:rPr>
              <w:t xml:space="preserve">правил </w:t>
            </w:r>
            <w:r w:rsidR="00A1716B" w:rsidRPr="00A1716B">
              <w:rPr>
                <w:rFonts w:ascii="Times New Roman" w:hAnsi="Times New Roman"/>
                <w:sz w:val="28"/>
                <w:szCs w:val="28"/>
              </w:rPr>
              <w:t xml:space="preserve">реалізації (відпуску) лікарських засобів (у тому числі з використанням інформаційно-комунікаційних систем дистанційним способом) малолітнім особам, </w:t>
            </w:r>
            <w:r w:rsidR="00B745C5">
              <w:rPr>
                <w:rFonts w:ascii="Times New Roman" w:hAnsi="Times New Roman"/>
                <w:sz w:val="28"/>
                <w:szCs w:val="28"/>
              </w:rPr>
              <w:t>додержання</w:t>
            </w:r>
            <w:r w:rsidR="00AA1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745C5">
              <w:rPr>
                <w:rFonts w:ascii="Times New Roman" w:hAnsi="Times New Roman"/>
                <w:sz w:val="28"/>
                <w:szCs w:val="28"/>
              </w:rPr>
              <w:t>суб</w:t>
            </w:r>
            <w:r w:rsidR="00B745C5" w:rsidRPr="009A75E5">
              <w:rPr>
                <w:rFonts w:ascii="Times New Roman" w:hAnsi="Times New Roman"/>
                <w:sz w:val="28"/>
                <w:szCs w:val="28"/>
              </w:rPr>
              <w:t>`</w:t>
            </w:r>
            <w:r w:rsidR="00B745C5">
              <w:rPr>
                <w:rFonts w:ascii="Times New Roman" w:hAnsi="Times New Roman"/>
                <w:sz w:val="28"/>
                <w:szCs w:val="28"/>
              </w:rPr>
              <w:t>єктами господарювання законодавства у сфері обігу лікарських засобів</w:t>
            </w:r>
          </w:p>
        </w:tc>
      </w:tr>
      <w:tr w:rsidR="00BC6EA8" w:rsidTr="00642D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642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Громадяни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642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C8D">
              <w:rPr>
                <w:rFonts w:ascii="Times New Roman" w:hAnsi="Times New Roman"/>
                <w:sz w:val="28"/>
                <w:szCs w:val="28"/>
              </w:rPr>
              <w:t>Позитивний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522A53" w:rsidP="00507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Унеможливлення реалізації </w:t>
            </w:r>
            <w:r w:rsidRPr="00522A53">
              <w:rPr>
                <w:rFonts w:ascii="Times New Roman" w:hAnsi="Times New Roman"/>
                <w:sz w:val="28"/>
                <w:szCs w:val="28"/>
              </w:rPr>
              <w:t>(у тому числі з використанням інформаційно-комунікаційних систем дистанційним способом) малолітнім особам</w:t>
            </w:r>
            <w:r>
              <w:rPr>
                <w:rFonts w:ascii="Times New Roman" w:hAnsi="Times New Roman"/>
                <w:sz w:val="28"/>
                <w:szCs w:val="28"/>
              </w:rPr>
              <w:t>, що забезпечить уникнення неконтрольованого споживання лікарських засобів дітьми до 14 років</w:t>
            </w:r>
          </w:p>
        </w:tc>
      </w:tr>
    </w:tbl>
    <w:p w:rsidR="00907FFC" w:rsidRDefault="00907FFC" w:rsidP="00C669FA">
      <w:pPr>
        <w:pStyle w:val="rvps18"/>
        <w:shd w:val="clear" w:color="auto" w:fill="FFFFFF"/>
        <w:spacing w:before="0" w:beforeAutospacing="0" w:after="0" w:afterAutospacing="0"/>
        <w:ind w:right="450" w:firstLine="708"/>
        <w:jc w:val="both"/>
        <w:rPr>
          <w:color w:val="000000"/>
        </w:rPr>
      </w:pPr>
    </w:p>
    <w:p w:rsidR="004A7D41" w:rsidRPr="004A7D41" w:rsidRDefault="004A7D41" w:rsidP="004A7D41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0"/>
          <w:lang w:eastAsia="uk-UA"/>
        </w:rPr>
      </w:pPr>
      <w:r w:rsidRPr="004A7D41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Голова Державної служби України </w:t>
      </w:r>
    </w:p>
    <w:p w:rsidR="004A7D41" w:rsidRPr="004A7D41" w:rsidRDefault="004A7D41" w:rsidP="004A7D41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0"/>
          <w:lang w:eastAsia="uk-UA"/>
        </w:rPr>
      </w:pPr>
      <w:r w:rsidRPr="004A7D41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з лікарських засобів та контролю </w:t>
      </w:r>
    </w:p>
    <w:p w:rsidR="002F69AB" w:rsidRDefault="004A7D41" w:rsidP="004A7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41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за наркотиками                                        </w:t>
      </w:r>
      <w:r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      </w:t>
      </w:r>
      <w:r w:rsidRPr="004A7D41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                       Роман ІСАЄНКО</w:t>
      </w:r>
    </w:p>
    <w:p w:rsidR="00031EE5" w:rsidRDefault="00031EE5" w:rsidP="00C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E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____________20</w:t>
      </w:r>
      <w:r w:rsidR="009A50B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3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B0578E" w:rsidRDefault="00B0578E" w:rsidP="00C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78E" w:rsidRDefault="00B0578E" w:rsidP="00C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78E" w:rsidRDefault="00B0578E" w:rsidP="00C6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te-IN"/>
        </w:rPr>
        <w:sectPr w:rsidR="00B0578E" w:rsidSect="002F69AB">
          <w:headerReference w:type="default" r:id="rId7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B0578E" w:rsidRPr="00B0578E" w:rsidRDefault="00B0578E" w:rsidP="005526F0">
      <w:pPr>
        <w:spacing w:after="0" w:line="240" w:lineRule="auto"/>
        <w:jc w:val="right"/>
        <w:rPr>
          <w:rStyle w:val="ab"/>
          <w:rFonts w:ascii="Times New Roman" w:hAnsi="Times New Roman" w:cs="Times New Roman"/>
          <w:sz w:val="24"/>
          <w:szCs w:val="24"/>
        </w:rPr>
      </w:pPr>
    </w:p>
    <w:sectPr w:rsidR="00B0578E" w:rsidRPr="00B0578E" w:rsidSect="00B0578E">
      <w:headerReference w:type="default" r:id="rId8"/>
      <w:pgSz w:w="16838" w:h="11906" w:orient="landscape"/>
      <w:pgMar w:top="993" w:right="851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BB2" w:rsidRDefault="00EC6BB2">
      <w:pPr>
        <w:spacing w:after="0" w:line="240" w:lineRule="auto"/>
      </w:pPr>
      <w:r>
        <w:separator/>
      </w:r>
    </w:p>
  </w:endnote>
  <w:endnote w:type="continuationSeparator" w:id="0">
    <w:p w:rsidR="00EC6BB2" w:rsidRDefault="00EC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BB2" w:rsidRDefault="00EC6BB2">
      <w:pPr>
        <w:spacing w:after="0" w:line="240" w:lineRule="auto"/>
      </w:pPr>
      <w:r>
        <w:separator/>
      </w:r>
    </w:p>
  </w:footnote>
  <w:footnote w:type="continuationSeparator" w:id="0">
    <w:p w:rsidR="00EC6BB2" w:rsidRDefault="00EC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9977710"/>
      <w:docPartObj>
        <w:docPartGallery w:val="Page Numbers (Top of Page)"/>
        <w:docPartUnique/>
      </w:docPartObj>
    </w:sdtPr>
    <w:sdtEndPr/>
    <w:sdtContent>
      <w:p w:rsidR="004149ED" w:rsidRDefault="005D0A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D41">
          <w:rPr>
            <w:noProof/>
          </w:rPr>
          <w:t>4</w:t>
        </w:r>
        <w:r>
          <w:fldChar w:fldCharType="end"/>
        </w:r>
      </w:p>
    </w:sdtContent>
  </w:sdt>
  <w:p w:rsidR="004149ED" w:rsidRDefault="00AA14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14A" w:rsidRDefault="009172A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64FA6" w:rsidRPr="00D64FA6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42A5"/>
    <w:multiLevelType w:val="hybridMultilevel"/>
    <w:tmpl w:val="ADD0A5DA"/>
    <w:lvl w:ilvl="0" w:tplc="92F663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B568B8"/>
    <w:multiLevelType w:val="hybridMultilevel"/>
    <w:tmpl w:val="4246E164"/>
    <w:lvl w:ilvl="0" w:tplc="A4F85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B3B"/>
    <w:rsid w:val="00015F4B"/>
    <w:rsid w:val="000210A5"/>
    <w:rsid w:val="00031EE5"/>
    <w:rsid w:val="00042BF6"/>
    <w:rsid w:val="0006724F"/>
    <w:rsid w:val="000724AC"/>
    <w:rsid w:val="00080536"/>
    <w:rsid w:val="000851BE"/>
    <w:rsid w:val="00085E84"/>
    <w:rsid w:val="00092930"/>
    <w:rsid w:val="000940B6"/>
    <w:rsid w:val="000B2EDA"/>
    <w:rsid w:val="000D5878"/>
    <w:rsid w:val="000E0CEA"/>
    <w:rsid w:val="00120155"/>
    <w:rsid w:val="0012771B"/>
    <w:rsid w:val="001505CD"/>
    <w:rsid w:val="00165552"/>
    <w:rsid w:val="00166D0D"/>
    <w:rsid w:val="00174508"/>
    <w:rsid w:val="001771C0"/>
    <w:rsid w:val="00185E2D"/>
    <w:rsid w:val="00191EEB"/>
    <w:rsid w:val="00194122"/>
    <w:rsid w:val="001A37E1"/>
    <w:rsid w:val="001B26A2"/>
    <w:rsid w:val="001E63AF"/>
    <w:rsid w:val="00234568"/>
    <w:rsid w:val="00240C2F"/>
    <w:rsid w:val="00243785"/>
    <w:rsid w:val="0024731F"/>
    <w:rsid w:val="00264E86"/>
    <w:rsid w:val="0027240E"/>
    <w:rsid w:val="002A137D"/>
    <w:rsid w:val="002A2A77"/>
    <w:rsid w:val="002E318A"/>
    <w:rsid w:val="002E40FF"/>
    <w:rsid w:val="002E7610"/>
    <w:rsid w:val="002F69AB"/>
    <w:rsid w:val="00300F6F"/>
    <w:rsid w:val="00301148"/>
    <w:rsid w:val="00307520"/>
    <w:rsid w:val="003125D1"/>
    <w:rsid w:val="00312A07"/>
    <w:rsid w:val="00320617"/>
    <w:rsid w:val="00323731"/>
    <w:rsid w:val="00331691"/>
    <w:rsid w:val="00336E69"/>
    <w:rsid w:val="00357FB4"/>
    <w:rsid w:val="00370B22"/>
    <w:rsid w:val="0037129A"/>
    <w:rsid w:val="00382A6C"/>
    <w:rsid w:val="003853CC"/>
    <w:rsid w:val="003938A8"/>
    <w:rsid w:val="00397610"/>
    <w:rsid w:val="003A48F6"/>
    <w:rsid w:val="003C7CFA"/>
    <w:rsid w:val="003D635F"/>
    <w:rsid w:val="003E397C"/>
    <w:rsid w:val="003E5C1B"/>
    <w:rsid w:val="0040608D"/>
    <w:rsid w:val="00407FCF"/>
    <w:rsid w:val="00414753"/>
    <w:rsid w:val="00434ECF"/>
    <w:rsid w:val="00442EE2"/>
    <w:rsid w:val="004468B7"/>
    <w:rsid w:val="00452AFE"/>
    <w:rsid w:val="004666D2"/>
    <w:rsid w:val="00466815"/>
    <w:rsid w:val="00467912"/>
    <w:rsid w:val="00477454"/>
    <w:rsid w:val="004836B6"/>
    <w:rsid w:val="00491A6C"/>
    <w:rsid w:val="004938BA"/>
    <w:rsid w:val="004A7D41"/>
    <w:rsid w:val="004B6F7C"/>
    <w:rsid w:val="004C0264"/>
    <w:rsid w:val="004C5C9A"/>
    <w:rsid w:val="004D1A48"/>
    <w:rsid w:val="004E0AE9"/>
    <w:rsid w:val="004E0D5D"/>
    <w:rsid w:val="004F0C59"/>
    <w:rsid w:val="0050425D"/>
    <w:rsid w:val="00507AF3"/>
    <w:rsid w:val="00515285"/>
    <w:rsid w:val="0051529C"/>
    <w:rsid w:val="00515A41"/>
    <w:rsid w:val="00520409"/>
    <w:rsid w:val="00522A53"/>
    <w:rsid w:val="00524685"/>
    <w:rsid w:val="00525618"/>
    <w:rsid w:val="00533183"/>
    <w:rsid w:val="005332B3"/>
    <w:rsid w:val="00533854"/>
    <w:rsid w:val="005526F0"/>
    <w:rsid w:val="00553CA7"/>
    <w:rsid w:val="005725A1"/>
    <w:rsid w:val="00594598"/>
    <w:rsid w:val="005B1362"/>
    <w:rsid w:val="005C06C4"/>
    <w:rsid w:val="005D0A9D"/>
    <w:rsid w:val="00615C2F"/>
    <w:rsid w:val="00644938"/>
    <w:rsid w:val="00650343"/>
    <w:rsid w:val="0065667F"/>
    <w:rsid w:val="00665185"/>
    <w:rsid w:val="00665A43"/>
    <w:rsid w:val="006721B8"/>
    <w:rsid w:val="00677476"/>
    <w:rsid w:val="00692BFB"/>
    <w:rsid w:val="006A2742"/>
    <w:rsid w:val="006A3A9B"/>
    <w:rsid w:val="006A4BF3"/>
    <w:rsid w:val="006A5D42"/>
    <w:rsid w:val="006A7DB8"/>
    <w:rsid w:val="006C6397"/>
    <w:rsid w:val="006D22E6"/>
    <w:rsid w:val="006D5373"/>
    <w:rsid w:val="006F0B8B"/>
    <w:rsid w:val="006F1897"/>
    <w:rsid w:val="006F5E3E"/>
    <w:rsid w:val="0071515B"/>
    <w:rsid w:val="007155C3"/>
    <w:rsid w:val="00730B92"/>
    <w:rsid w:val="007313A9"/>
    <w:rsid w:val="00737E81"/>
    <w:rsid w:val="00740B38"/>
    <w:rsid w:val="00742F1A"/>
    <w:rsid w:val="00743536"/>
    <w:rsid w:val="00745F8C"/>
    <w:rsid w:val="00747138"/>
    <w:rsid w:val="0078181C"/>
    <w:rsid w:val="0079316F"/>
    <w:rsid w:val="007B02AA"/>
    <w:rsid w:val="007C2B17"/>
    <w:rsid w:val="007F244C"/>
    <w:rsid w:val="007F2A75"/>
    <w:rsid w:val="00800EFC"/>
    <w:rsid w:val="00814B3B"/>
    <w:rsid w:val="00820E7E"/>
    <w:rsid w:val="00855B96"/>
    <w:rsid w:val="0087732C"/>
    <w:rsid w:val="00892EAA"/>
    <w:rsid w:val="00896B66"/>
    <w:rsid w:val="008B2474"/>
    <w:rsid w:val="008D2EA1"/>
    <w:rsid w:val="008E4B6D"/>
    <w:rsid w:val="008F5E4F"/>
    <w:rsid w:val="00906D10"/>
    <w:rsid w:val="00907FFC"/>
    <w:rsid w:val="00911AB2"/>
    <w:rsid w:val="0091259D"/>
    <w:rsid w:val="009172AD"/>
    <w:rsid w:val="00935268"/>
    <w:rsid w:val="00983A9C"/>
    <w:rsid w:val="009A50B8"/>
    <w:rsid w:val="009A75E5"/>
    <w:rsid w:val="009C518F"/>
    <w:rsid w:val="009C6E06"/>
    <w:rsid w:val="009D24D9"/>
    <w:rsid w:val="009D25A8"/>
    <w:rsid w:val="009E151C"/>
    <w:rsid w:val="00A01851"/>
    <w:rsid w:val="00A043D3"/>
    <w:rsid w:val="00A1664B"/>
    <w:rsid w:val="00A1716B"/>
    <w:rsid w:val="00A422F9"/>
    <w:rsid w:val="00A556D7"/>
    <w:rsid w:val="00A61CC3"/>
    <w:rsid w:val="00A70FD0"/>
    <w:rsid w:val="00A83F03"/>
    <w:rsid w:val="00A916C8"/>
    <w:rsid w:val="00A9172A"/>
    <w:rsid w:val="00A94B50"/>
    <w:rsid w:val="00AA1450"/>
    <w:rsid w:val="00AA70AE"/>
    <w:rsid w:val="00AB19C9"/>
    <w:rsid w:val="00AB1D25"/>
    <w:rsid w:val="00AC44D2"/>
    <w:rsid w:val="00AD0EF6"/>
    <w:rsid w:val="00AD1CF2"/>
    <w:rsid w:val="00AF2A46"/>
    <w:rsid w:val="00B0578E"/>
    <w:rsid w:val="00B074AE"/>
    <w:rsid w:val="00B129D6"/>
    <w:rsid w:val="00B262FA"/>
    <w:rsid w:val="00B27201"/>
    <w:rsid w:val="00B543A6"/>
    <w:rsid w:val="00B73ACE"/>
    <w:rsid w:val="00B73C75"/>
    <w:rsid w:val="00B745C5"/>
    <w:rsid w:val="00B837AF"/>
    <w:rsid w:val="00B95384"/>
    <w:rsid w:val="00B97C86"/>
    <w:rsid w:val="00BA688D"/>
    <w:rsid w:val="00BC61FA"/>
    <w:rsid w:val="00BC6EA8"/>
    <w:rsid w:val="00BD5D35"/>
    <w:rsid w:val="00BE2D0B"/>
    <w:rsid w:val="00BE3DB2"/>
    <w:rsid w:val="00BE6AD2"/>
    <w:rsid w:val="00BF0ED6"/>
    <w:rsid w:val="00BF2DA3"/>
    <w:rsid w:val="00BF7332"/>
    <w:rsid w:val="00C068B0"/>
    <w:rsid w:val="00C4149A"/>
    <w:rsid w:val="00C51761"/>
    <w:rsid w:val="00C5280F"/>
    <w:rsid w:val="00C53FF4"/>
    <w:rsid w:val="00C60D72"/>
    <w:rsid w:val="00C629DE"/>
    <w:rsid w:val="00C669FA"/>
    <w:rsid w:val="00C731C3"/>
    <w:rsid w:val="00C91294"/>
    <w:rsid w:val="00CA7747"/>
    <w:rsid w:val="00CB5DF2"/>
    <w:rsid w:val="00CC7275"/>
    <w:rsid w:val="00CD14DC"/>
    <w:rsid w:val="00CD6353"/>
    <w:rsid w:val="00CF5E4A"/>
    <w:rsid w:val="00D05F9A"/>
    <w:rsid w:val="00D15318"/>
    <w:rsid w:val="00D20A1C"/>
    <w:rsid w:val="00D3025B"/>
    <w:rsid w:val="00D31CB1"/>
    <w:rsid w:val="00D407AB"/>
    <w:rsid w:val="00D41054"/>
    <w:rsid w:val="00D64FA6"/>
    <w:rsid w:val="00D67050"/>
    <w:rsid w:val="00D70344"/>
    <w:rsid w:val="00D72BBF"/>
    <w:rsid w:val="00D76381"/>
    <w:rsid w:val="00D8464A"/>
    <w:rsid w:val="00DA1C78"/>
    <w:rsid w:val="00DC6103"/>
    <w:rsid w:val="00DC6D76"/>
    <w:rsid w:val="00DE2129"/>
    <w:rsid w:val="00DE2D94"/>
    <w:rsid w:val="00DF6423"/>
    <w:rsid w:val="00E00A18"/>
    <w:rsid w:val="00E01230"/>
    <w:rsid w:val="00E10E6D"/>
    <w:rsid w:val="00E15167"/>
    <w:rsid w:val="00E20465"/>
    <w:rsid w:val="00E24598"/>
    <w:rsid w:val="00E256B2"/>
    <w:rsid w:val="00E276A3"/>
    <w:rsid w:val="00E34280"/>
    <w:rsid w:val="00E350D5"/>
    <w:rsid w:val="00E52CAF"/>
    <w:rsid w:val="00E5546B"/>
    <w:rsid w:val="00E73124"/>
    <w:rsid w:val="00E75301"/>
    <w:rsid w:val="00E806F8"/>
    <w:rsid w:val="00E83D06"/>
    <w:rsid w:val="00E85688"/>
    <w:rsid w:val="00EC520F"/>
    <w:rsid w:val="00EC6BB2"/>
    <w:rsid w:val="00ED270B"/>
    <w:rsid w:val="00EE0718"/>
    <w:rsid w:val="00EE09B3"/>
    <w:rsid w:val="00EE0B76"/>
    <w:rsid w:val="00EF58F1"/>
    <w:rsid w:val="00F036D9"/>
    <w:rsid w:val="00F04BEB"/>
    <w:rsid w:val="00F130E1"/>
    <w:rsid w:val="00F154BD"/>
    <w:rsid w:val="00F24CBB"/>
    <w:rsid w:val="00F268B5"/>
    <w:rsid w:val="00F33B6E"/>
    <w:rsid w:val="00F40BD9"/>
    <w:rsid w:val="00F41A1A"/>
    <w:rsid w:val="00F429DC"/>
    <w:rsid w:val="00F477F3"/>
    <w:rsid w:val="00F91A0B"/>
    <w:rsid w:val="00FE38E0"/>
    <w:rsid w:val="00FF0DB7"/>
    <w:rsid w:val="00FF5735"/>
    <w:rsid w:val="00FF62CC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CCAF"/>
  <w15:docId w15:val="{8DBFDA42-D07E-4F87-B098-892B2147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1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rsid w:val="00031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A774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B1362"/>
    <w:pPr>
      <w:ind w:left="720"/>
      <w:contextualSpacing/>
    </w:pPr>
  </w:style>
  <w:style w:type="paragraph" w:customStyle="1" w:styleId="rvps18">
    <w:name w:val="rvps18"/>
    <w:basedOn w:val="a"/>
    <w:rsid w:val="00E5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E5546B"/>
    <w:rPr>
      <w:color w:val="0000FF"/>
      <w:u w:val="single"/>
    </w:rPr>
  </w:style>
  <w:style w:type="paragraph" w:customStyle="1" w:styleId="rvps2">
    <w:name w:val="rvps2"/>
    <w:basedOn w:val="a"/>
    <w:rsid w:val="008D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ody Text"/>
    <w:basedOn w:val="a"/>
    <w:link w:val="aa"/>
    <w:rsid w:val="00AB1D25"/>
    <w:pPr>
      <w:widowControl w:val="0"/>
      <w:shd w:val="clear" w:color="auto" w:fill="FFFFFF"/>
      <w:tabs>
        <w:tab w:val="left" w:pos="504"/>
      </w:tabs>
      <w:overflowPunct w:val="0"/>
      <w:autoSpaceDE w:val="0"/>
      <w:autoSpaceDN w:val="0"/>
      <w:adjustRightInd w:val="0"/>
      <w:spacing w:before="206" w:after="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000000"/>
      <w:sz w:val="28"/>
      <w:szCs w:val="20"/>
      <w:lang w:eastAsia="ru-RU"/>
    </w:rPr>
  </w:style>
  <w:style w:type="character" w:customStyle="1" w:styleId="aa">
    <w:name w:val="Основний текст Знак"/>
    <w:basedOn w:val="a0"/>
    <w:link w:val="a9"/>
    <w:rsid w:val="00AB1D25"/>
    <w:rPr>
      <w:rFonts w:ascii="Times New Roman CYR" w:eastAsia="Times New Roman" w:hAnsi="Times New Roman CYR" w:cs="Times New Roman"/>
      <w:color w:val="000000"/>
      <w:sz w:val="28"/>
      <w:szCs w:val="20"/>
      <w:shd w:val="clear" w:color="auto" w:fill="FFFFFF"/>
      <w:lang w:eastAsia="ru-RU"/>
    </w:rPr>
  </w:style>
  <w:style w:type="character" w:styleId="ab">
    <w:name w:val="Strong"/>
    <w:qFormat/>
    <w:rsid w:val="00B0578E"/>
    <w:rPr>
      <w:b/>
      <w:bCs/>
    </w:rPr>
  </w:style>
  <w:style w:type="table" w:styleId="ac">
    <w:name w:val="Table Grid"/>
    <w:basedOn w:val="a1"/>
    <w:uiPriority w:val="59"/>
    <w:rsid w:val="00BC6E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1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41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1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0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EED"/>
                                    <w:left w:val="single" w:sz="6" w:space="0" w:color="D5DEED"/>
                                    <w:bottom w:val="none" w:sz="0" w:space="0" w:color="auto"/>
                                    <w:right w:val="single" w:sz="6" w:space="0" w:color="D5DEED"/>
                                  </w:divBdr>
                                  <w:divsChild>
                                    <w:div w:id="1627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46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21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78482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57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4475</Words>
  <Characters>2551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Письменна Олена Володимирівна</dc:creator>
  <cp:keywords/>
  <dc:description/>
  <cp:lastModifiedBy>Бабійчук Оксана Миколаївна</cp:lastModifiedBy>
  <cp:revision>47</cp:revision>
  <cp:lastPrinted>2022-01-11T13:51:00Z</cp:lastPrinted>
  <dcterms:created xsi:type="dcterms:W3CDTF">2022-01-04T07:58:00Z</dcterms:created>
  <dcterms:modified xsi:type="dcterms:W3CDTF">2022-01-11T13:54:00Z</dcterms:modified>
</cp:coreProperties>
</file>