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136" w:rsidRPr="005D5C79" w:rsidRDefault="00181136" w:rsidP="00181136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uk-UA"/>
        </w:rPr>
      </w:pPr>
      <w:r w:rsidRPr="005D5C7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Інформація, отримана з іноземних систем повідомлення про продукцію, що становить серйозний ризик, за період 01.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0</w:t>
      </w:r>
      <w:r w:rsidR="0098296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.2022</w:t>
      </w:r>
      <w:r w:rsidRPr="005D5C7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– </w:t>
      </w:r>
      <w:r w:rsidR="0098296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30</w:t>
      </w:r>
      <w:bookmarkStart w:id="0" w:name="_GoBack"/>
      <w:bookmarkEnd w:id="0"/>
      <w:r w:rsidRPr="005D5C7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0</w:t>
      </w:r>
      <w:r w:rsidR="0098296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6</w:t>
      </w:r>
      <w:r w:rsidRPr="005D5C7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.20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22</w:t>
      </w:r>
    </w:p>
    <w:p w:rsidR="00181136" w:rsidRDefault="00181136" w:rsidP="00181136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181136" w:rsidRPr="005D5C79" w:rsidRDefault="00181136" w:rsidP="00181136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5D5C79">
        <w:rPr>
          <w:rFonts w:ascii="Times New Roman" w:hAnsi="Times New Roman"/>
          <w:b/>
          <w:sz w:val="28"/>
          <w:szCs w:val="28"/>
        </w:rPr>
        <w:t>Франція</w:t>
      </w:r>
    </w:p>
    <w:p w:rsidR="00181136" w:rsidRDefault="0098296B" w:rsidP="00181136">
      <w:pPr>
        <w:spacing w:after="0" w:line="240" w:lineRule="auto"/>
        <w:jc w:val="both"/>
        <w:outlineLvl w:val="2"/>
        <w:rPr>
          <w:rStyle w:val="a3"/>
          <w:rFonts w:ascii="Times New Roman" w:eastAsia="Times New Roman" w:hAnsi="Times New Roman"/>
          <w:b/>
          <w:bCs/>
          <w:sz w:val="28"/>
          <w:szCs w:val="28"/>
          <w:lang w:val="en-US" w:eastAsia="uk-UA"/>
        </w:rPr>
      </w:pPr>
      <w:hyperlink r:id="rId4" w:history="1">
        <w:r w:rsidR="00181136" w:rsidRPr="00D86562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https</w:t>
        </w:r>
        <w:r w:rsidR="00181136" w:rsidRPr="009D6273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://</w:t>
        </w:r>
        <w:proofErr w:type="spellStart"/>
        <w:r w:rsidR="00181136" w:rsidRPr="00D86562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ansm</w:t>
        </w:r>
        <w:proofErr w:type="spellEnd"/>
        <w:r w:rsidR="00181136" w:rsidRPr="009D6273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.</w:t>
        </w:r>
        <w:proofErr w:type="spellStart"/>
        <w:r w:rsidR="00181136" w:rsidRPr="00D86562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sante</w:t>
        </w:r>
        <w:proofErr w:type="spellEnd"/>
        <w:r w:rsidR="00181136" w:rsidRPr="009D6273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.</w:t>
        </w:r>
        <w:proofErr w:type="spellStart"/>
        <w:r w:rsidR="00181136" w:rsidRPr="00D86562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fr</w:t>
        </w:r>
        <w:proofErr w:type="spellEnd"/>
        <w:r w:rsidR="00181136" w:rsidRPr="009D6273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/</w:t>
        </w:r>
        <w:r w:rsidR="00181136" w:rsidRPr="00D86562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S</w:t>
        </w:r>
        <w:r w:rsidR="00181136" w:rsidRPr="009D6273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-</w:t>
        </w:r>
        <w:r w:rsidR="00181136" w:rsidRPr="00D86562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informer</w:t>
        </w:r>
        <w:r w:rsidR="00181136" w:rsidRPr="009D6273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/</w:t>
        </w:r>
        <w:proofErr w:type="spellStart"/>
        <w:r w:rsidR="00181136" w:rsidRPr="00D86562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Informations</w:t>
        </w:r>
        <w:proofErr w:type="spellEnd"/>
        <w:r w:rsidR="00181136" w:rsidRPr="009D6273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-</w:t>
        </w:r>
        <w:r w:rsidR="00181136" w:rsidRPr="00D86562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de</w:t>
        </w:r>
        <w:r w:rsidR="00181136" w:rsidRPr="009D6273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-</w:t>
        </w:r>
        <w:proofErr w:type="spellStart"/>
        <w:r w:rsidR="00181136" w:rsidRPr="00D86562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securite</w:t>
        </w:r>
        <w:proofErr w:type="spellEnd"/>
        <w:r w:rsidR="00181136" w:rsidRPr="009D6273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-</w:t>
        </w:r>
        <w:proofErr w:type="spellStart"/>
        <w:r w:rsidR="00181136" w:rsidRPr="00D86562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Autres</w:t>
        </w:r>
        <w:proofErr w:type="spellEnd"/>
        <w:r w:rsidR="00181136" w:rsidRPr="009D6273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-</w:t>
        </w:r>
        <w:proofErr w:type="spellStart"/>
        <w:r w:rsidR="00181136" w:rsidRPr="00D86562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mesures</w:t>
        </w:r>
        <w:proofErr w:type="spellEnd"/>
        <w:r w:rsidR="00181136" w:rsidRPr="009D6273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-</w:t>
        </w:r>
        <w:r w:rsidR="00181136" w:rsidRPr="00D86562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de</w:t>
        </w:r>
        <w:r w:rsidR="00181136" w:rsidRPr="009D6273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-</w:t>
        </w:r>
        <w:proofErr w:type="spellStart"/>
        <w:r w:rsidR="00181136" w:rsidRPr="00D86562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securite</w:t>
        </w:r>
        <w:proofErr w:type="spellEnd"/>
      </w:hyperlink>
    </w:p>
    <w:p w:rsidR="00E54713" w:rsidRPr="009D6273" w:rsidRDefault="00E54713" w:rsidP="00181136">
      <w:pPr>
        <w:spacing w:after="0" w:line="240" w:lineRule="auto"/>
        <w:jc w:val="both"/>
        <w:outlineLvl w:val="2"/>
        <w:rPr>
          <w:rStyle w:val="a3"/>
          <w:rFonts w:eastAsia="Times New Roman"/>
          <w:b/>
          <w:bCs/>
          <w:lang w:eastAsia="uk-UA"/>
        </w:rPr>
      </w:pPr>
    </w:p>
    <w:p w:rsidR="00E54713" w:rsidRPr="00E54713" w:rsidRDefault="00E54713" w:rsidP="00E547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hyperlink r:id="rId5" w:history="1"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Liste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des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essais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cliniques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menés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dans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le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cadre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l’assistance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médicale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a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la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procréation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(03/05/2022) </w:t>
        </w:r>
      </w:hyperlink>
    </w:p>
    <w:p w:rsidR="00E54713" w:rsidRPr="00E54713" w:rsidRDefault="00E54713" w:rsidP="00E547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hyperlink r:id="rId6" w:history="1"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Chimiothérapie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adjuvante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et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risque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d’infertilité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chez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les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jeunes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patientes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présentant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un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cancer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du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sein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: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Place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la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cryopréservation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ovocytaire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ou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embryonnaire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(CHACRY) -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Centre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Oscar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Lambret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(03/05/2022) </w:t>
        </w:r>
      </w:hyperlink>
    </w:p>
    <w:p w:rsidR="00E54713" w:rsidRPr="00E54713" w:rsidRDefault="00E54713" w:rsidP="00E547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hyperlink r:id="rId7" w:history="1"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NATural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Ovarian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Stimulation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(NATOS) :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Un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protocole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stimulation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ovarienne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innovant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associant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croissance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folliculaire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multiple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et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environnement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estrogénique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physiologique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destiné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aux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patientes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bon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pronostic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prises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en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charge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en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fécondation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in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vitro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(FIV) - AP-HP (03/05/2022) </w:t>
        </w:r>
      </w:hyperlink>
    </w:p>
    <w:p w:rsidR="00E54713" w:rsidRPr="00E54713" w:rsidRDefault="00E54713" w:rsidP="00E547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hyperlink r:id="rId8" w:history="1"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Intérêt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la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programmation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par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estrogènes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vant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stimulation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ovarienne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par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corifollitropine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alfa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chez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les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femms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38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ans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ou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plus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en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fécondation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in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vitro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(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Interest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of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Estrogen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Scheduling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Before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Ovarian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Stimulation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With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Corifollitropin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Alfa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pRESCORI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) - CHI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Créteil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(03/05/2022) </w:t>
        </w:r>
      </w:hyperlink>
    </w:p>
    <w:p w:rsidR="00E54713" w:rsidRPr="00E54713" w:rsidRDefault="00E54713" w:rsidP="00E547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hyperlink r:id="rId9" w:history="1"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Comparaison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du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nombre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cumulé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d’ovocytes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recueillis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avec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2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stimulations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ovariennes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sur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le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même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cycle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par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Fertistartkit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® (DUOSTIM)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versus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2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stimulations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conventionnelles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chez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les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patientes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avec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réserve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ovarienne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altérée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en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FIV.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Etude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BISTIM - CHI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Créteil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(03/05/2022) </w:t>
        </w:r>
      </w:hyperlink>
    </w:p>
    <w:p w:rsidR="00E54713" w:rsidRPr="00E54713" w:rsidRDefault="00E54713" w:rsidP="00E547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hyperlink r:id="rId10" w:history="1"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Blastocyste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et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collapsing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: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impact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sur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le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taux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succès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en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assistance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médicale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à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la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procréation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- CHU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Montpellier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(03/05/2022) </w:t>
        </w:r>
      </w:hyperlink>
    </w:p>
    <w:p w:rsidR="00E54713" w:rsidRPr="00E54713" w:rsidRDefault="00E54713" w:rsidP="00E547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hyperlink r:id="rId11" w:history="1"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Efficacité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et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tolérance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d'un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protocole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stimulation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ovarienne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associant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FSH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et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acétate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dégarelix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chez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des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candidates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à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une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préservation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la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fertilité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avant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chimiothérapie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pour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cancer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du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sein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(DEGASTIM) - AP-HP (03/05/2022) </w:t>
        </w:r>
      </w:hyperlink>
    </w:p>
    <w:p w:rsidR="00E54713" w:rsidRPr="00E54713" w:rsidRDefault="00E54713" w:rsidP="00E547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hyperlink r:id="rId12" w:history="1"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Faisabilité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et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efficacité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d'un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protocole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stimulation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ovarienne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à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début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ultra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flexible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et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ultra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simplifié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pour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les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donneuses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d'ovocytes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(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randomstart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et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protocole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avec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blocage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par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progestatifs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en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phase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folliculaire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) - CHI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Créteil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(03/05/2022) </w:t>
        </w:r>
      </w:hyperlink>
    </w:p>
    <w:p w:rsidR="00E54713" w:rsidRPr="00E54713" w:rsidRDefault="00E54713" w:rsidP="00E547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hyperlink r:id="rId13" w:history="1"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Phase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III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Trial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to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assess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impact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of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ultra-long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versus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long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down-regulation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protocol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on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IVF/ICSI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outcomes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in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infertile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women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presenting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with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adenomyosis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- CHU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Toulouse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(03/05/2022) </w:t>
        </w:r>
      </w:hyperlink>
    </w:p>
    <w:p w:rsidR="00E54713" w:rsidRPr="00E54713" w:rsidRDefault="00E54713" w:rsidP="00E547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hyperlink r:id="rId14" w:history="1"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Bénéfice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l'agoniste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la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GnRH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avant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un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transfert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d'embryon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congelé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chez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les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patientes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atteintes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d'endométriose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et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/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ou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adénomyose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: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étude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prospective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randomisée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-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Hôpital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Foch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(03/05/2022) </w:t>
        </w:r>
      </w:hyperlink>
    </w:p>
    <w:p w:rsidR="00E54713" w:rsidRPr="00E54713" w:rsidRDefault="00E54713" w:rsidP="00E547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hyperlink r:id="rId15" w:history="1"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Impact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l’amlodipine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sur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les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indices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pulsatilité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utérine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en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cycle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THS (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Traitement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Hormonal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Substitutif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)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pour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transfert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d'embryon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congelé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: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essai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randomisé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contrôlé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en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double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aveugle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- CHU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Montpellier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(03/05/2022) </w:t>
        </w:r>
      </w:hyperlink>
    </w:p>
    <w:p w:rsidR="00E54713" w:rsidRPr="00E54713" w:rsidRDefault="00E54713" w:rsidP="00E547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hyperlink r:id="rId16" w:history="1"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Amélioration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des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taux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Naissance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après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ICSI,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par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le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cpFT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.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Étude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multicentrique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prospective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randomisée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. « FERTICSI » - AP-HP (03/05/2022) </w:t>
        </w:r>
      </w:hyperlink>
    </w:p>
    <w:p w:rsidR="00E54713" w:rsidRPr="00E54713" w:rsidRDefault="00E54713" w:rsidP="00E547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hyperlink r:id="rId17" w:history="1"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Comprehensive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chromosomal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Testing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of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Trophectoderm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(TE)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biopsies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of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Blastocysts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(CTTEB)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to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improve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live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birth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rates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after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in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vitro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fertilization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: a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prospective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randomized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trial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.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Delivery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In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Vitro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Trophectoderm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(DEVIT) - AP-HP (03/05/2022) </w:t>
        </w:r>
      </w:hyperlink>
    </w:p>
    <w:p w:rsidR="00E54713" w:rsidRPr="00181136" w:rsidRDefault="00E54713"/>
    <w:sectPr w:rsidR="00E54713" w:rsidRPr="001811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36"/>
    <w:rsid w:val="00082ADF"/>
    <w:rsid w:val="00181136"/>
    <w:rsid w:val="004D09E3"/>
    <w:rsid w:val="006400E0"/>
    <w:rsid w:val="0098296B"/>
    <w:rsid w:val="00E5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91DC"/>
  <w15:chartTrackingRefBased/>
  <w15:docId w15:val="{436FEEE2-F635-4BFE-9884-5F9DCE1B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1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81136"/>
    <w:rPr>
      <w:color w:val="0000FF"/>
      <w:u w:val="single"/>
    </w:rPr>
  </w:style>
  <w:style w:type="character" w:customStyle="1" w:styleId="media-body">
    <w:name w:val="media-body"/>
    <w:basedOn w:val="a0"/>
    <w:rsid w:val="00E54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3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4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0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4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4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sm.sante.fr/uploads/2022/05/03/20220311-cada22v24-ec-amp-aut3-2016.pdf" TargetMode="External"/><Relationship Id="rId13" Type="http://schemas.openxmlformats.org/officeDocument/2006/relationships/hyperlink" Target="https://ansm.sante.fr/uploads/2022/05/03/20220311-cada22v24-ec-amp-aut2-2019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nsm.sante.fr/uploads/2022/05/03/20220311-cada22v24-ec-amp-aut2-2016.pdf" TargetMode="External"/><Relationship Id="rId12" Type="http://schemas.openxmlformats.org/officeDocument/2006/relationships/hyperlink" Target="https://ansm.sante.fr/uploads/2022/05/03/20220311-cada22v24-ec-amp-aut-2019.pdf" TargetMode="External"/><Relationship Id="rId17" Type="http://schemas.openxmlformats.org/officeDocument/2006/relationships/hyperlink" Target="https://ansm.sante.fr/uploads/2022/05/03/20220311-cada22v24-ec-amp-aut2-2021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nsm.sante.fr/uploads/2022/05/03/20220311-cada22v24-ec-amp-aut-2021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ansm.sante.fr/uploads/2022/05/03/20220311-cada22v24-ec-amp-aut-2016.pdf" TargetMode="External"/><Relationship Id="rId11" Type="http://schemas.openxmlformats.org/officeDocument/2006/relationships/hyperlink" Target="https://ansm.sante.fr/uploads/2022/05/03/20220311-cada22v24-ec-amp-aut2-2018.pdf" TargetMode="External"/><Relationship Id="rId5" Type="http://schemas.openxmlformats.org/officeDocument/2006/relationships/hyperlink" Target="https://ansm.sante.fr/uploads/2022/05/03/20220311-cada22v24-ec-amp-liste-essais-2021.pdf" TargetMode="External"/><Relationship Id="rId15" Type="http://schemas.openxmlformats.org/officeDocument/2006/relationships/hyperlink" Target="https://ansm.sante.fr/uploads/2022/05/03/20220311-cada22v24-ec-amp-aut3-2020.pdf" TargetMode="External"/><Relationship Id="rId10" Type="http://schemas.openxmlformats.org/officeDocument/2006/relationships/hyperlink" Target="https://ansm.sante.fr/uploads/2022/05/03/20220311-cada22v24-ec-amp-aut-2017.pdf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ansm.sante.fr/S-informer/Informations-de-securite-Autres-mesures-de-securite" TargetMode="External"/><Relationship Id="rId9" Type="http://schemas.openxmlformats.org/officeDocument/2006/relationships/hyperlink" Target="https://ansm.sante.fr/uploads/2022/05/03/20220311-cada22v24-ec-amp-aut-2018.pdf" TargetMode="External"/><Relationship Id="rId14" Type="http://schemas.openxmlformats.org/officeDocument/2006/relationships/hyperlink" Target="https://ansm.sante.fr/uploads/2022/05/03/20220311-cada22v24-ec-amp-aut2-2020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2753</Words>
  <Characters>1570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Листовнича Вікторія Вікторівна</dc:creator>
  <cp:keywords/>
  <dc:description/>
  <cp:lastModifiedBy>Листовнича Вікторія Вікторівна</cp:lastModifiedBy>
  <cp:revision>3</cp:revision>
  <dcterms:created xsi:type="dcterms:W3CDTF">2023-01-02T08:30:00Z</dcterms:created>
  <dcterms:modified xsi:type="dcterms:W3CDTF">2023-01-02T08:30:00Z</dcterms:modified>
</cp:coreProperties>
</file>