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B1" w:rsidRPr="006B37B1" w:rsidRDefault="006B37B1" w:rsidP="00AA1CA3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color w:val="F08316"/>
          <w:kern w:val="36"/>
          <w:sz w:val="36"/>
          <w:szCs w:val="36"/>
          <w:lang w:eastAsia="ru-RU"/>
        </w:rPr>
      </w:pPr>
      <w:r w:rsidRPr="006B37B1">
        <w:rPr>
          <w:rFonts w:ascii="inherit" w:eastAsia="Times New Roman" w:hAnsi="inherit" w:cs="Times New Roman"/>
          <w:color w:val="F08316"/>
          <w:kern w:val="36"/>
          <w:sz w:val="36"/>
          <w:szCs w:val="36"/>
          <w:lang w:eastAsia="ru-RU"/>
        </w:rPr>
        <w:t>Запровадження з 1 квітня е-рецепта</w:t>
      </w:r>
      <w:bookmarkStart w:id="0" w:name="_GoBack"/>
      <w:bookmarkEnd w:id="0"/>
      <w:r w:rsidRPr="006B37B1">
        <w:rPr>
          <w:rFonts w:ascii="inherit" w:eastAsia="Times New Roman" w:hAnsi="inherit" w:cs="Times New Roman"/>
          <w:color w:val="F08316"/>
          <w:kern w:val="36"/>
          <w:sz w:val="36"/>
          <w:szCs w:val="36"/>
          <w:lang w:eastAsia="ru-RU"/>
        </w:rPr>
        <w:t>: особливості перехідного періоду</w:t>
      </w:r>
    </w:p>
    <w:p w:rsidR="006B37B1" w:rsidRPr="00AA1CA3" w:rsidRDefault="00AA1CA3" w:rsidP="006B37B1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val="uk-UA" w:eastAsia="ru-RU"/>
        </w:rPr>
        <w:t xml:space="preserve"> </w:t>
      </w:r>
    </w:p>
    <w:p w:rsidR="006B37B1" w:rsidRPr="00AA1CA3" w:rsidRDefault="006B37B1" w:rsidP="006B37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7 березня відбувся вебінар на тему «Основне про е-рецепт. Модель перехідного періоду», організаторами якого виступили МОЗ України та Проєкт Агентства США з міжнародного розвитку (USAID) «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ідтримка реформи охорони здоров’я».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заходу обговорювалося впровадження з 1 квітня 2023 р. електронних рецептів (е-рецепт) на всі рецептурні лікарські засоби, а також особливості на час воєнного стану перехідного періоду для переходу з паперових рецептів на електронні. Нагадаємо, відповідно до </w:t>
      </w:r>
      <w:hyperlink r:id="rId8" w:tgtFrame="_blank" w:history="1"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постанови</w:t>
        </w:r>
      </w:hyperlink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КМУ від 27.09.2022 р. № 1055 суб’єкти господарювання, які провадять господарську діяльність з роздрібної торгі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лікарськими засобами, зобов’язані до 31 березня 2023 р. підключитися до електронної системи охорони здоров’я (ЕСОЗ). Винятком з даної вимоги є ліцензіати, які здійснюють господарську діяльність через аптеки та їх структурні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ідрозділи, які розташовані в районі проведення воєнних (бойових) дій, або які перебувають у тимчасовій окупації, оточенні (блокуванні).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таких районів затверджується наказом Міністерства з питань реінтеграції тимчасово окупованих територій України від 22.12.2022 р. № 309.</w:t>
      </w:r>
      <w:proofErr w:type="gramEnd"/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Заступниця міністра охорони здоров’я з питань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розвитку, цифрових трансформацій і цифровізації </w:t>
      </w:r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Марія Карчевич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нагадала, що в 2022 р. е-рецепт введено на антибактеріальні лікарські засоби, наркотичні, психотропні препарати. Наразі вже виписано понад 500 тис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-рецептів на антибактеріальні лікарські засоби.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квітня 2023 р. запроваджується е-рецепт на всі рецептурні лікарські засоби. Це дозволить контролювати їх відпуск, вести їх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в ЕСОЗ, що в стратегічній перспективі дозволить побудувати систему клінічного моніторингу в Україні. Також це унеможливить самолікування населення рецептурними препаратами і змушуватиме їх звертатися до медичних спеціалістів, які здійснюватимуть призначення ліків і тим самим контролюватимуть процес лікування. Адже неусвідомлене застосування рецептурних препаратів може призводити до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тяжких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наслідків для здоров’я.</w:t>
      </w:r>
    </w:p>
    <w:p w:rsidR="006B37B1" w:rsidRPr="006B37B1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того, запровадження е-рецепта передбачено й директивами Європейського Союзу (ЄС). Враховуючи євроінтеграційний шлях, Україна має певні зобов’язання щодо приведення власного законодавства у відповідність із законодавством ЄС.</w:t>
      </w:r>
    </w:p>
    <w:p w:rsidR="006B37B1" w:rsidRPr="006B37B1" w:rsidRDefault="006B37B1" w:rsidP="006B37B1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</w:pPr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>ПЕРЕХІДНИЙ ПЕРІОД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Ірина Ліштаба, 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 з фармацевтичних питань, проєктний менеджер проєкту «Електронний рецепт» ДП «Елект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ронне здоров’я», поінформувала, що з квітня 2023 р. діятиме перехідний період,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якого пацієнт самостійно обиратиме — отримувати йому паперовий рецепт 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рецептурному бланку форми № 1 або форми № 3 (залежно від групи ліків) чи е-рецепт з надсиланням йому смс-повідомлення про номер рецепта та номер його погашення.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Водночас якщо у закладі відсутня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ічна можливість виписати е-рецепт, то пацієнту дозволяється виписувати паперовий рецепт на відповідному бланку. Однак якщо така можливість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лікар повинен запропонувати пацієнту виписати е-рецепт.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 звернула увагу, що </w:t>
      </w:r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квітня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завершується період, коли антибактеріальні препарати можна було відпускати на 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ідставі інформаційної довідки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надається в паперовому вигляді одночасно з виписуванням е-рецепта.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цього періоду на інформаційну довідку не ставитимуться печатка і підпис лікаря. До кінця березня 2023 р. ці довідки прирівнюватимуться до рецепта, вони повинні містити печатку 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 лікаря.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квітня інформаційна довідка надаватиметься пацієнту за потреби, але лише в якості допоміжного інформаційного документа. Проте якщо пацієнт зареєстрований в ЕСОЗ лише на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поданих документів без зазначення номеру мобільного телефону, то йому інформаційна довідка надаватиметься обов’язково. Оскільки в іншому разі пацієнт не матиме інформації про номер е-рецепта та код його погашення, які за інших обставин надходять як смс-повідомлення на їх номер мобільного телефону.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Паперові рецепти виписуватимуться у таких випадках: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пацієнт обрав саме таку форму рецепта на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ікарські засоби, які він оплачуватиме власним коштом;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разі відсутності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ічної можливості на період дії воєнного стану (відсутність світла, зв’язку у закладі охорони здоров’я);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разі виникнення збою у роботі центральної бази даних ЕСОЗ, який унеможливлює виписування е-рецепті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екстемпоральні лікарські засоби;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лікарські засоби, які відпускаються на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ільгових умовах за рахунок коштів місцевих бюджетів згідно з </w:t>
      </w:r>
      <w:hyperlink r:id="rId9" w:tgtFrame="_blank" w:history="1"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постановою</w:t>
        </w:r>
      </w:hyperlink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КМУ від 17.08.1998 р. № 1303;</w:t>
      </w:r>
    </w:p>
    <w:p w:rsidR="006B37B1" w:rsidRPr="00AA1CA3" w:rsidRDefault="006B37B1" w:rsidP="006B3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рецептурні ліки, які призначаються фельдшерами, за винятком наркотичних, отруйних та сильнодіючих лікарських засобів, а також лікарських засобів і медичних виробів, які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 реімбурсації.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Виписувати е-рецепт може будь-який лікар, зареєстрований в ЕСОЗ, що має електронний кваліфікований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ідпис. Також неважливо, в якому закладі охорони здоров’я лікар працює — державному, приватному, комунальному, чи він зареєстрований як фізична особа —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ідприємець.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Виписувати е-рецепт можна будь-якому пацієнту, незалежно від того, чи має він декларацію з лі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карем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Головна вимога, щоб пацієнт був зареєстрований в ЕСОЗ.</w:t>
      </w:r>
    </w:p>
    <w:p w:rsidR="006B37B1" w:rsidRPr="006B37B1" w:rsidRDefault="006B37B1" w:rsidP="006B37B1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</w:pPr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>ВІДПУСК ЛІКІВ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Відпуск рецептурних ліків за е-рецептом дозволений як комунальним, так і приватним аптечним закладам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підключення їх до ЕСОЗ. Доповідач зауважила, що для відпуску ліків за е-рецептом, які пацієнт придбаває за власний кошт, аптечному закладу не потрібно укладати догові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реімбурсацію ліків за програмою «Доступні ліки».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фармацевтичних працівників, які безпосередньо відпускатимуть ліки за е-рецептом, кваліфікований електронний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 буде потрібен лише для відпуску наркотичних препаратів та ліків за програмою реімбурсації.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Відпуск лікарських засобів поза ЕСОЗ можливий лише за паперовим рецептом, а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відпуску з цими рецептами не потрібно фіксувати факт відпуску в ЕСОЗ.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Стосовно самого процесу, то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отримання е-рецепта пацієнт звертатиметься в аптечний заклад. Фармацевт чи асистент фармацевта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ідключатиметься до ЕСОЗ і за номером е-рецепта, вказаним в смс-повідомленні або зазначеним в інформаційній довідці, знаходитиме його. Потім з пацієнтом має вестися комунікація щодо того, який лікарський засіб йому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ідходить і в якій кількості потрібен. Адже рецептурні лікарські засоби, які придбаваються пацієнтом за власні кошти, відпускаються у тій кількості, яка потрібна пацієнту. Вона може бути меншою за ту, яка вказана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рецепті (частковий відпуск). Проте весь е-рецепт має бути погашений протягом строку його дії, який становить 30 дні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завершення відпуску ліків фармацевт має запитати у пацієнта код погашення, який теж вказано в смс-повідомленні або інформаційній довідці, 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введення коду в ЕСОЗ процедура відпуску завершуватиметься. Якщо ж відпускатиметься наркотичний препарат чи лікарський засіб з програми реімбурсації, то погашення е-рецепта має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ідтверджуватися кваліфікованим електронним підписом фармацевта або асистента фармацевта.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разі відсутності електроенергії чи інтернет-зв’язку в аптечному закладі пацієнт має звернутися до іншого аптечного закладу або зачекати відновлення можливості погашення е-рецепта.</w:t>
      </w:r>
      <w:proofErr w:type="gramEnd"/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пацієнт звертається з паперовим рецептом за формою бланку № 1 або № 3, то відпуск цих ліків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ідбуватиметься, як і раніше, згідно з Порядком відпуску лікарських засобів і виробів медичного призначення з аптек та їх структурних підрозділів, затвердженим </w:t>
      </w:r>
      <w:hyperlink r:id="rId10" w:tgtFrame="_blank" w:history="1"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наказом МОЗ України від 19.07.2005 р. № 360</w:t>
        </w:r>
      </w:hyperlink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B1" w:rsidRPr="006B37B1" w:rsidRDefault="006B37B1" w:rsidP="006B37B1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</w:pPr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 xml:space="preserve">ЯК </w:t>
      </w:r>
      <w:proofErr w:type="gramStart"/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>П</w:t>
      </w:r>
      <w:proofErr w:type="gramEnd"/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>ІДГОТУВАТИСЯ ДО ВПРОВАДЖЕННЯ Е-РЕЦЕПТА?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Якщо аптечний заклад ще не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ідключено до ЕСОЗ, то спочатку необхідно обрати медичну інформаційну систему (МІС), перелік яких </w:t>
      </w:r>
      <w:hyperlink r:id="rId11" w:tgtFrame="_blank" w:history="1"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розміщено</w:t>
        </w:r>
      </w:hyperlink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сайті ДП «Електронне здоров’я». Потім слід зареєструвати працівників аптечного закладу в ЕСОЗ та забезпечити їх кваліфікованим електрон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ідписом, якщо відпускатимуться наркотичні препарати або ліки за програмою реімбурсації.</w:t>
      </w:r>
    </w:p>
    <w:p w:rsidR="006B37B1" w:rsidRPr="006B37B1" w:rsidRDefault="006B37B1" w:rsidP="006B37B1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</w:pPr>
      <w:r w:rsidRPr="006B37B1">
        <w:rPr>
          <w:rFonts w:ascii="inherit" w:eastAsia="Times New Roman" w:hAnsi="inherit" w:cs="Times New Roman"/>
          <w:color w:val="F08316"/>
          <w:sz w:val="27"/>
          <w:szCs w:val="27"/>
          <w:lang w:eastAsia="ru-RU"/>
        </w:rPr>
        <w:t>ПИТАННЯ УЧАСНИКІВ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заходу учасники активно ставили запитання. Зокрема, до </w:t>
      </w:r>
      <w:r w:rsidRPr="00AA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Олександра Гриценка</w:t>
      </w: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.о. начальника фармацевтичного управління МОЗ України: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Де можна переглянути перелік рецептурних лікарських засобів, зареєстрованих в Україні?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Інформація про те, чи відпускається лікарський засіб за рецептом, міститься в </w:t>
      </w:r>
      <w:hyperlink r:id="rId12" w:tgtFrame="_blank" w:history="1"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Державному реє</w:t>
        </w:r>
        <w:proofErr w:type="gramStart"/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стр</w:t>
        </w:r>
        <w:proofErr w:type="gramEnd"/>
        <w:r w:rsidRPr="00AA1CA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і лікарських засобів України</w:t>
        </w:r>
      </w:hyperlink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цього під час користування реєстром слід в пошуку вказати відповідну торгову назву чи міжнародне непатентоване найменування (МНН) лікарського засобу і з випадаючого переліку обрати потрібний. У детальній інформації про обраний препарат буде вказано умови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ідпуску: за/без рецепта. Також там розміщено інструкцію для медичного застосування,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якій теж вказуються умови відпуску препарату.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Чи можливе дистанційне виписування е-рецепті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Якщо пацієнт має хронічне захворювання і йому потрібно купувати препарати щомісяця, то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лікар може виписати рецепт дистанційно.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також ставили запитання й І. Ліштабі, зокрема: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Чи потрібно дублювати паперовий рецепт в електрон</w:t>
      </w: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ному вигляді 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ісля того, як лікар виписав паперовий рецепт через відсутність електроенергії або інтернет-зв’язку в закладі охорони здоров’я?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такому разі дублювати призначення в ЕСОЗ не потрібно.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Чи зможуть з 1 квітня лікарі приватного закладу охорони здоров’я виписувати рецепти на рецептурні лікарські засоби, якщо заклад не 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ідключено до ЕСОЗ?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Відповідно до останніх змін до Ліцензійних умов провадження господарської діяльності з медичної практики, однією з вимог здійснення ліцензійної діяльності з медичної практики є обов’язковість підключення та ведення медичних електронних записів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ЕСОЗ. Згідно із змінами суб’єкти господарювання, які отримали ліцензію на провадження господарської діяльності з медичної практики, зобов’язані не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ізніше, ніж до 31 березня 2023 р. зареєструватися в ЕСОЗ. Водночас якщо заклад ще в процесі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ідключення, то лікарі цього закладу можуть призначати рецептурні ліки за паперовими рецептами.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— При відпуску е-рецепта виникають проблеми із запропонованим переліком лікарських засобів для відпуску, 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 не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всі препарати є в ЕСОЗ. Чи буде цей перелік </w:t>
      </w:r>
      <w:proofErr w:type="gramStart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іків оновлюватися?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МНН, яке виписує лікар в рецепті, і препарати, які за цим рецептом відпускаються, сформовані на основі Реєстру лікарських засобів. Однак важливу роль відіграє те, як власник реєстраційного посвідчення сформував пакет документів та подав їх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державної реєстрації лікарського засобу. Оскільки часто виникають ситуації, коли на реєстрацію подаються препарати із зазначенням лікарської форми, дещо відмінної ві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 б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ільшості представлених препаратів з цією ж діючою речовиною. Наприклад, якщо в більшості випадків препарат зареєстровано як порошок для ін’єкцій, але певний виробник подав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державної реєстрації його як порошок для інфузій та ін’єкцій. У таких випадках, якщо лікар зазначив в е-рецепті препарат як порошок для інфузій, то в аптечному закладі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пошуку відповідного лікарського засобу відображатиметься саме порошок для ін’єкцій. Адже через відмінну лікарську форму для ЕСОЗ це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 препарати. Тому І. Ліштаба порекомендувала в таких випадках звірятися з Реєстром лікарських засобів або звертатися до МІС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роз’ясненнями.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Якщо фармацевт побачив помилку в е-рецепті, як йому діяти?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Найближчим часом МІС почнуть реалізовувати функціонал, який дозволить фармацевтам в таких випадках відміняти е-рецепти із позначкою, що вони виписані з помилкою.</w:t>
      </w:r>
      <w:proofErr w:type="gramEnd"/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якщо у фармацевта виникають сумніви, чи є помилка в е-рецепті, то можна звернутися до МІС і уточнити це.</w:t>
      </w:r>
    </w:p>
    <w:p w:rsidR="006B37B1" w:rsidRPr="00AA1CA3" w:rsidRDefault="006B37B1" w:rsidP="006B37B1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 Чи можна відпускати аналоги за діючою речовиною або змінювати дозування?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 більшості випадків виписування рецептів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ідбуватиметься за МНН, і вже під час відпуску пацієнт обиратиме лікарський засіб за торговою назвою. Однак частина е-рецептів виписуватиметься за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торговою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назвою. Зокрема, імунобіологічні препарати та ті, які не мають діючих речовин. У 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випадках відпускати аналоги не буде можливості, бо в ЕСОЗ відображатиметься лише один препарат.</w:t>
      </w:r>
    </w:p>
    <w:p w:rsidR="006B37B1" w:rsidRPr="00AA1CA3" w:rsidRDefault="006B37B1" w:rsidP="006B37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слід зазначити, що згідно з чинним законодавством лише лікар приймає </w:t>
      </w:r>
      <w:proofErr w:type="gramStart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про визначення режиму дозування для пацієнта, тому міняти його під час відпуску забороняється.</w:t>
      </w:r>
    </w:p>
    <w:p w:rsidR="0024240D" w:rsidRPr="00AA1CA3" w:rsidRDefault="004B78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1CA3" w:rsidRPr="00AA1CA3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Щотижневика «Аптека»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24240D" w:rsidRPr="00AA1CA3" w:rsidSect="00E413C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F4" w:rsidRDefault="006017F4" w:rsidP="00E413CE">
      <w:pPr>
        <w:spacing w:after="0" w:line="240" w:lineRule="auto"/>
      </w:pPr>
      <w:r>
        <w:separator/>
      </w:r>
    </w:p>
  </w:endnote>
  <w:endnote w:type="continuationSeparator" w:id="0">
    <w:p w:rsidR="006017F4" w:rsidRDefault="006017F4" w:rsidP="00E4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F4" w:rsidRDefault="006017F4" w:rsidP="00E413CE">
      <w:pPr>
        <w:spacing w:after="0" w:line="240" w:lineRule="auto"/>
      </w:pPr>
      <w:r>
        <w:separator/>
      </w:r>
    </w:p>
  </w:footnote>
  <w:footnote w:type="continuationSeparator" w:id="0">
    <w:p w:rsidR="006017F4" w:rsidRDefault="006017F4" w:rsidP="00E4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442304"/>
      <w:docPartObj>
        <w:docPartGallery w:val="Page Numbers (Top of Page)"/>
        <w:docPartUnique/>
      </w:docPartObj>
    </w:sdtPr>
    <w:sdtEndPr/>
    <w:sdtContent>
      <w:p w:rsidR="00E413CE" w:rsidRDefault="00E41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FB">
          <w:rPr>
            <w:noProof/>
          </w:rPr>
          <w:t>5</w:t>
        </w:r>
        <w:r>
          <w:fldChar w:fldCharType="end"/>
        </w:r>
      </w:p>
    </w:sdtContent>
  </w:sdt>
  <w:p w:rsidR="00E413CE" w:rsidRDefault="00E41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57CD"/>
    <w:multiLevelType w:val="multilevel"/>
    <w:tmpl w:val="1E86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B1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4907CD"/>
    <w:rsid w:val="004B78F5"/>
    <w:rsid w:val="006017F4"/>
    <w:rsid w:val="00652D9C"/>
    <w:rsid w:val="00674EFC"/>
    <w:rsid w:val="00675145"/>
    <w:rsid w:val="006A25A2"/>
    <w:rsid w:val="006B37B1"/>
    <w:rsid w:val="007368FB"/>
    <w:rsid w:val="007A72A7"/>
    <w:rsid w:val="007E7C6A"/>
    <w:rsid w:val="00834507"/>
    <w:rsid w:val="00890278"/>
    <w:rsid w:val="00AA1CA3"/>
    <w:rsid w:val="00BE64C7"/>
    <w:rsid w:val="00C071D3"/>
    <w:rsid w:val="00C364A7"/>
    <w:rsid w:val="00CF7F28"/>
    <w:rsid w:val="00E31ACB"/>
    <w:rsid w:val="00E36C6E"/>
    <w:rsid w:val="00E413CE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3CE"/>
  </w:style>
  <w:style w:type="paragraph" w:styleId="a7">
    <w:name w:val="footer"/>
    <w:basedOn w:val="a"/>
    <w:link w:val="a8"/>
    <w:uiPriority w:val="99"/>
    <w:unhideWhenUsed/>
    <w:rsid w:val="00E4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3CE"/>
  </w:style>
  <w:style w:type="paragraph" w:styleId="a7">
    <w:name w:val="footer"/>
    <w:basedOn w:val="a"/>
    <w:link w:val="a8"/>
    <w:uiPriority w:val="99"/>
    <w:unhideWhenUsed/>
    <w:rsid w:val="00E4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26">
          <w:marLeft w:val="0"/>
          <w:marRight w:val="0"/>
          <w:marTop w:val="300"/>
          <w:marBottom w:val="300"/>
          <w:divBdr>
            <w:top w:val="single" w:sz="6" w:space="15" w:color="EEEEEE"/>
            <w:left w:val="single" w:sz="48" w:space="15" w:color="F08316"/>
            <w:bottom w:val="single" w:sz="6" w:space="15" w:color="EEEEEE"/>
            <w:right w:val="single" w:sz="6" w:space="15" w:color="EEEEEE"/>
          </w:divBdr>
        </w:div>
        <w:div w:id="1318916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.ua/article/6472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rlz.com.ua/ibp/ddsite.nsf/all/shlist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health.gov.ua/aptechnym-zaklada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pteka.ua/article/70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teka.ua/article/11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Inspector-2</cp:lastModifiedBy>
  <cp:revision>8</cp:revision>
  <cp:lastPrinted>2023-03-20T09:38:00Z</cp:lastPrinted>
  <dcterms:created xsi:type="dcterms:W3CDTF">2023-03-10T10:36:00Z</dcterms:created>
  <dcterms:modified xsi:type="dcterms:W3CDTF">2023-03-20T09:39:00Z</dcterms:modified>
</cp:coreProperties>
</file>