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815" w:type="dxa"/>
        <w:tblLook w:val="04A0" w:firstRow="1" w:lastRow="0" w:firstColumn="1" w:lastColumn="0" w:noHBand="0" w:noVBand="1"/>
      </w:tblPr>
      <w:tblGrid>
        <w:gridCol w:w="4540"/>
      </w:tblGrid>
      <w:tr w:rsidR="00AA6310" w:rsidRPr="00873563" w:rsidTr="00604B1D">
        <w:tc>
          <w:tcPr>
            <w:tcW w:w="4814" w:type="dxa"/>
            <w:shd w:val="clear" w:color="auto" w:fill="auto"/>
          </w:tcPr>
          <w:p w:rsidR="00AA6310" w:rsidRPr="00873563" w:rsidRDefault="00AA6310" w:rsidP="00604B1D">
            <w:pPr>
              <w:ind w:firstLine="0"/>
              <w:rPr>
                <w:b/>
                <w:noProof/>
                <w:lang w:val="ru-RU"/>
              </w:rPr>
            </w:pPr>
            <w:r w:rsidRPr="00873563">
              <w:rPr>
                <w:b/>
                <w:noProof/>
                <w:lang w:val="ru-RU"/>
              </w:rPr>
              <w:t>Додаток 2</w:t>
            </w:r>
          </w:p>
          <w:p w:rsidR="00AA6310" w:rsidRPr="00873563" w:rsidRDefault="00AA6310" w:rsidP="00604B1D">
            <w:pPr>
              <w:ind w:firstLine="0"/>
              <w:rPr>
                <w:noProof/>
                <w:lang w:val="ru-RU"/>
              </w:rPr>
            </w:pPr>
            <w:r w:rsidRPr="00873563">
              <w:rPr>
                <w:noProof/>
                <w:lang w:val="ru-RU"/>
              </w:rPr>
              <w:t xml:space="preserve">до Ліцензійних умов </w:t>
            </w:r>
          </w:p>
          <w:p w:rsidR="00AA6310" w:rsidRPr="00873563" w:rsidRDefault="00AA6310" w:rsidP="00604B1D">
            <w:pPr>
              <w:ind w:firstLine="0"/>
              <w:rPr>
                <w:noProof/>
                <w:lang w:val="ru-RU"/>
              </w:rPr>
            </w:pPr>
          </w:p>
        </w:tc>
      </w:tr>
    </w:tbl>
    <w:p w:rsidR="00AA6310" w:rsidRPr="0036654E" w:rsidRDefault="00AA6310" w:rsidP="00AA6310">
      <w:pPr>
        <w:shd w:val="clear" w:color="auto" w:fill="FFFFFF"/>
        <w:spacing w:line="360" w:lineRule="auto"/>
        <w:ind w:firstLine="0"/>
        <w:jc w:val="center"/>
        <w:rPr>
          <w:rFonts w:eastAsia="Times New Roman"/>
          <w:b/>
          <w:bCs/>
          <w:sz w:val="28"/>
          <w:szCs w:val="28"/>
        </w:rPr>
      </w:pPr>
      <w:r w:rsidRPr="0036654E">
        <w:rPr>
          <w:rFonts w:eastAsia="Times New Roman"/>
          <w:b/>
          <w:bCs/>
          <w:sz w:val="28"/>
          <w:szCs w:val="28"/>
        </w:rPr>
        <w:t>Досьє суб’єкта системи крові</w:t>
      </w:r>
    </w:p>
    <w:p w:rsidR="00AA6310" w:rsidRPr="00873563" w:rsidRDefault="00AA6310" w:rsidP="00AA6310">
      <w:pPr>
        <w:shd w:val="clear" w:color="auto" w:fill="FFFFFF"/>
        <w:spacing w:line="360" w:lineRule="auto"/>
        <w:ind w:firstLine="0"/>
        <w:jc w:val="both"/>
        <w:rPr>
          <w:rFonts w:eastAsia="Times New Roman"/>
          <w:b/>
          <w:bCs/>
        </w:rPr>
      </w:pPr>
      <w:r w:rsidRPr="00873563">
        <w:rPr>
          <w:rFonts w:eastAsia="Times New Roman"/>
          <w:b/>
          <w:bCs/>
        </w:rPr>
        <w:t xml:space="preserve">1. Загальна інформація </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1.1 Контактна інформація </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Назва та офіційна адреса (українською та англійською мовами)</w:t>
      </w:r>
      <w:r>
        <w:rPr>
          <w:rFonts w:eastAsia="Times New Roman"/>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w:t>
      </w:r>
      <w:r>
        <w:rPr>
          <w:rFonts w:eastAsia="Times New Roman"/>
        </w:rPr>
        <w:t>Назва та поштова адреса місця провадження господарської діяльності;</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Контактна інформація про суб’єкт системи крові та структурні підрозділи, у тому числі номер телефону, що працює цілодобово, персоналу, з яким контактують у разі дефектів або відкликання донорської крові та компонентів крові</w:t>
      </w:r>
      <w:r>
        <w:rPr>
          <w:rFonts w:eastAsia="Times New Roman"/>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Ідентифікаційний номер суб’єкта системи крові та структурних підрозділів суб’єкта системи крові: дані GPS (</w:t>
      </w:r>
      <w:r w:rsidRPr="00873563">
        <w:rPr>
          <w:rFonts w:eastAsia="Times New Roman"/>
          <w:lang w:val="en-US"/>
        </w:rPr>
        <w:t>Global</w:t>
      </w:r>
      <w:r w:rsidRPr="00873563">
        <w:rPr>
          <w:rFonts w:eastAsia="Times New Roman"/>
        </w:rPr>
        <w:t xml:space="preserve"> </w:t>
      </w:r>
      <w:r w:rsidRPr="00873563">
        <w:rPr>
          <w:rFonts w:eastAsia="Times New Roman"/>
          <w:lang w:val="en-US"/>
        </w:rPr>
        <w:t>Positioning</w:t>
      </w:r>
      <w:r w:rsidRPr="00873563">
        <w:rPr>
          <w:rFonts w:eastAsia="Times New Roman"/>
        </w:rPr>
        <w:t xml:space="preserve"> </w:t>
      </w:r>
      <w:r w:rsidRPr="00873563">
        <w:rPr>
          <w:rFonts w:eastAsia="Times New Roman"/>
          <w:lang w:val="en-US"/>
        </w:rPr>
        <w:t>System</w:t>
      </w:r>
      <w:r w:rsidRPr="00873563">
        <w:rPr>
          <w:rFonts w:eastAsia="Times New Roman"/>
        </w:rPr>
        <w:t xml:space="preserve"> – глобальна система навігації та визначення розташування).</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1.2 Інформація про ліцензовану діяльність суб’єкта системи крові </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Короткий опис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Times New Roman"/>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w:t>
      </w:r>
      <w:r w:rsidRPr="00A54E55">
        <w:rPr>
          <w:rFonts w:eastAsia="Times New Roman"/>
        </w:rPr>
        <w:t>Номенклатура донорської крові та компонентів</w:t>
      </w:r>
      <w:r w:rsidRPr="00873563">
        <w:rPr>
          <w:rFonts w:eastAsia="Times New Roman"/>
        </w:rPr>
        <w:t xml:space="preserve"> крові, що виготовлюються суб’єктом системи крові на даний час</w:t>
      </w:r>
      <w:r>
        <w:rPr>
          <w:rFonts w:eastAsia="Times New Roman"/>
        </w:rPr>
        <w:t xml:space="preserve"> (Додаток 1);</w:t>
      </w:r>
    </w:p>
    <w:p w:rsidR="00AA6310" w:rsidRPr="00575C37" w:rsidRDefault="00AA6310" w:rsidP="00AA6310">
      <w:pPr>
        <w:shd w:val="clear" w:color="auto" w:fill="FFFFFF"/>
        <w:spacing w:line="360" w:lineRule="auto"/>
        <w:ind w:firstLine="0"/>
        <w:jc w:val="both"/>
        <w:rPr>
          <w:rFonts w:eastAsia="Times New Roman"/>
        </w:rPr>
      </w:pPr>
      <w:r w:rsidRPr="00575C37">
        <w:rPr>
          <w:rFonts w:eastAsia="Times New Roman"/>
        </w:rPr>
        <w:t xml:space="preserve">- Перелік інспектувань/перевірок суб’єкта системи крові щодо запровадженої та підтримуваної системи якості, належної практики для суб’єктів системи крові, </w:t>
      </w:r>
      <w:proofErr w:type="spellStart"/>
      <w:r w:rsidRPr="00575C37">
        <w:rPr>
          <w:rFonts w:eastAsia="Times New Roman"/>
        </w:rPr>
        <w:t>простежуваності</w:t>
      </w:r>
      <w:proofErr w:type="spellEnd"/>
      <w:r w:rsidRPr="00575C37">
        <w:rPr>
          <w:rFonts w:eastAsia="Times New Roman"/>
        </w:rPr>
        <w:t xml:space="preserve"> та </w:t>
      </w:r>
      <w:proofErr w:type="spellStart"/>
      <w:r w:rsidRPr="00575C37">
        <w:rPr>
          <w:rFonts w:eastAsia="Times New Roman"/>
        </w:rPr>
        <w:t>гемонагляду</w:t>
      </w:r>
      <w:proofErr w:type="spellEnd"/>
      <w:r w:rsidRPr="00575C37">
        <w:rPr>
          <w:rFonts w:eastAsia="Times New Roman"/>
        </w:rPr>
        <w:t xml:space="preserve"> </w:t>
      </w:r>
      <w:r>
        <w:rPr>
          <w:rFonts w:eastAsia="Times New Roman"/>
        </w:rPr>
        <w:t xml:space="preserve">за останні 5 років </w:t>
      </w:r>
      <w:r w:rsidRPr="00575C37">
        <w:rPr>
          <w:rFonts w:eastAsia="Times New Roman"/>
        </w:rPr>
        <w:t>(за наявності).</w:t>
      </w:r>
    </w:p>
    <w:p w:rsidR="00AA6310" w:rsidRPr="0011283E" w:rsidRDefault="00AA6310" w:rsidP="00AA6310">
      <w:pPr>
        <w:shd w:val="clear" w:color="auto" w:fill="FFFFFF"/>
        <w:spacing w:line="360" w:lineRule="auto"/>
        <w:ind w:firstLine="0"/>
        <w:jc w:val="both"/>
        <w:rPr>
          <w:rFonts w:eastAsia="Times New Roman"/>
          <w:b/>
        </w:rPr>
      </w:pPr>
      <w:r w:rsidRPr="0011283E">
        <w:rPr>
          <w:rFonts w:eastAsia="Times New Roman"/>
          <w:b/>
        </w:rPr>
        <w:t>2. Система управління якістю суб’єкта системи крові</w:t>
      </w:r>
    </w:p>
    <w:p w:rsidR="00AA6310" w:rsidRDefault="00AA6310" w:rsidP="00AA6310">
      <w:pPr>
        <w:shd w:val="clear" w:color="auto" w:fill="FFFFFF"/>
        <w:spacing w:line="360" w:lineRule="auto"/>
        <w:ind w:firstLine="0"/>
        <w:jc w:val="both"/>
        <w:rPr>
          <w:rFonts w:eastAsia="Times New Roman"/>
        </w:rPr>
      </w:pPr>
      <w:r w:rsidRPr="00873563">
        <w:rPr>
          <w:rFonts w:eastAsia="Times New Roman"/>
        </w:rPr>
        <w:t xml:space="preserve">2.1 Система управління </w:t>
      </w:r>
      <w:r>
        <w:rPr>
          <w:rFonts w:eastAsia="Times New Roman"/>
        </w:rPr>
        <w:t>якістю</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Короткий опис систем управління якістю та посилання на зовнішні стандарти і нормативно-правові акти та внутрішні процедури,</w:t>
      </w:r>
      <w:r>
        <w:rPr>
          <w:rFonts w:eastAsia="Times New Roman"/>
        </w:rPr>
        <w:t xml:space="preserve"> що застосовуються;</w:t>
      </w:r>
    </w:p>
    <w:p w:rsidR="00AA6310" w:rsidRDefault="00AA6310" w:rsidP="00AA6310">
      <w:pPr>
        <w:shd w:val="clear" w:color="auto" w:fill="FFFFFF"/>
        <w:spacing w:line="360" w:lineRule="auto"/>
        <w:ind w:firstLine="0"/>
        <w:jc w:val="both"/>
        <w:rPr>
          <w:rFonts w:eastAsia="Times New Roman"/>
        </w:rPr>
      </w:pPr>
      <w:r w:rsidRPr="00873563">
        <w:rPr>
          <w:rFonts w:eastAsia="Times New Roman"/>
        </w:rPr>
        <w:t xml:space="preserve">- Опис системи, що забезпечує </w:t>
      </w:r>
      <w:proofErr w:type="spellStart"/>
      <w:r w:rsidRPr="00873563">
        <w:rPr>
          <w:rFonts w:eastAsia="Times New Roman"/>
        </w:rPr>
        <w:t>простежуваність</w:t>
      </w:r>
      <w:proofErr w:type="spellEnd"/>
      <w:r w:rsidRPr="00873563">
        <w:rPr>
          <w:rFonts w:eastAsia="Times New Roman"/>
        </w:rPr>
        <w:t xml:space="preserve"> донорської крові та компонентів крові на усіх</w:t>
      </w:r>
      <w:r>
        <w:rPr>
          <w:rFonts w:eastAsia="Times New Roman"/>
        </w:rPr>
        <w:t xml:space="preserve"> етапах технологічного процесу </w:t>
      </w:r>
      <w:r w:rsidRPr="00575C37">
        <w:rPr>
          <w:rFonts w:eastAsia="Times New Roman"/>
        </w:rPr>
        <w:t xml:space="preserve">та </w:t>
      </w:r>
      <w:proofErr w:type="spellStart"/>
      <w:r w:rsidRPr="00575C37">
        <w:rPr>
          <w:rFonts w:eastAsia="Times New Roman"/>
        </w:rPr>
        <w:t>гемонагляд</w:t>
      </w:r>
      <w:proofErr w:type="spellEnd"/>
      <w:r w:rsidRPr="00873563">
        <w:rPr>
          <w:rFonts w:eastAsia="Times New Roman"/>
        </w:rPr>
        <w:t xml:space="preserve"> з пос</w:t>
      </w:r>
      <w:r>
        <w:rPr>
          <w:rFonts w:eastAsia="Times New Roman"/>
        </w:rPr>
        <w:t>иланнями на внутрішні процедури;</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Відповідальність стосовно підтримки системи якості, вк</w:t>
      </w:r>
      <w:r>
        <w:rPr>
          <w:rFonts w:eastAsia="Times New Roman"/>
        </w:rPr>
        <w:t>лючаючи вищий керівний персонал;</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Інформація щодо </w:t>
      </w:r>
      <w:r>
        <w:rPr>
          <w:rFonts w:eastAsia="Times New Roman"/>
        </w:rPr>
        <w:t>акредитації та/або сертифікації системи управління якістю.</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2.2 Процедура видачі дозволу на випуск партії готової продукції.</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 xml:space="preserve">- Дані (освіта та досвід роботи) про відповідність кваліфікаційним вимогам Відповідальної особи з питань безпеки та якості донорської крові та компонентів крові в межах діяльності суб’єкта системи крові, відповідальної за сертифікацію партії донорської крові та </w:t>
      </w:r>
      <w:r w:rsidRPr="00F00BD8">
        <w:rPr>
          <w:rFonts w:eastAsia="Times New Roman"/>
          <w:color w:val="000000"/>
        </w:rPr>
        <w:lastRenderedPageBreak/>
        <w:t>компонентів крові та процедури видачі дозволу на випуск та подальший розподіл і реалізацію.</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 Загальний опис сертифікації партії донорської крові та компонентів крові партії донорської крові та компонентів крові та процедури видачі дозволу на випуск та подальший розподіл і реалізацію.</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 xml:space="preserve">- Роль Відповідальної особи у процедурі карантину та видачі дозволу на випуск партії донорської крові та компонентів крові та процедури видачі дозволу на випуск та подальший розподіл і реалізацію, систему якості та належну практику в суб’єкті системи крові, забезпечення показників безпеки та якості донорської крові та компонентів крові, встановлених законодавством. </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2.3 Управління постачальниками та підрядчиками</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 Коротке резюме стосовно організації ланцюга постачання, а також програм зовнішнього аудиту.</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 Короткий опис системи кваліфікації підрядчиків, постачальників лікарських засобів та медичних виробів для заготівлі, тестування, переробки, зберігання, розподілу та реалізації донорської крові та компонентів крові, інших критичних матеріалів.</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 Використання сторонньої наукової, аналітичної або іншої технічної допомоги стосовно заготівлі, тестування, зберігання, розподілу та реалізації донорської крові та компонентів крові.</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 Перелік контрактних лабораторій, включаючи адреси та контактну інформацію, а також схеми ланцюгів постачання для зовнішньої діяльності із заготівлі, тестування, зберігання, розподілу та реалізації донорської крові та компонентів крові, контролю якості; наприклад, контроль донорської крові та компонентів крові, транспортування донорської крові та компонентів крові тощо.</w:t>
      </w:r>
    </w:p>
    <w:p w:rsidR="00AA6310" w:rsidRPr="00F00BD8" w:rsidRDefault="00AA6310" w:rsidP="00AA6310">
      <w:pPr>
        <w:shd w:val="clear" w:color="auto" w:fill="FFFFFF"/>
        <w:spacing w:line="360" w:lineRule="auto"/>
        <w:ind w:firstLine="0"/>
        <w:jc w:val="both"/>
        <w:rPr>
          <w:rFonts w:eastAsia="Times New Roman"/>
          <w:color w:val="000000"/>
        </w:rPr>
      </w:pPr>
      <w:r w:rsidRPr="00F00BD8">
        <w:rPr>
          <w:rFonts w:eastAsia="Times New Roman"/>
          <w:color w:val="000000"/>
        </w:rPr>
        <w:t xml:space="preserve">- Короткий огляд розподілу відповідальності між закладом охорони здоров’я, що надає послуги з трансфузії та суб’єктом системи крові стосовно </w:t>
      </w:r>
      <w:proofErr w:type="spellStart"/>
      <w:r w:rsidRPr="00F00BD8">
        <w:rPr>
          <w:rFonts w:eastAsia="Times New Roman"/>
          <w:color w:val="000000"/>
        </w:rPr>
        <w:t>гемонагляду</w:t>
      </w:r>
      <w:proofErr w:type="spellEnd"/>
      <w:r w:rsidRPr="00F00BD8">
        <w:rPr>
          <w:rFonts w:eastAsia="Times New Roman"/>
          <w:color w:val="000000"/>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2.4 Управління ризиками для якості</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Короткий опис методології управління ризиками для якості, з посилання</w:t>
      </w:r>
      <w:r>
        <w:rPr>
          <w:rFonts w:eastAsia="Times New Roman"/>
        </w:rPr>
        <w:t>м</w:t>
      </w:r>
      <w:r w:rsidRPr="00873563">
        <w:rPr>
          <w:rFonts w:eastAsia="Times New Roman"/>
        </w:rPr>
        <w:t xml:space="preserve"> на зовнішні стандарти та внутрішні процедури</w:t>
      </w:r>
      <w:r>
        <w:rPr>
          <w:rFonts w:eastAsia="Times New Roman"/>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w:t>
      </w:r>
      <w:r>
        <w:rPr>
          <w:rFonts w:eastAsia="Times New Roman"/>
        </w:rPr>
        <w:t>Сфера</w:t>
      </w:r>
      <w:r w:rsidRPr="00873563">
        <w:rPr>
          <w:rFonts w:eastAsia="Times New Roman"/>
        </w:rPr>
        <w:t xml:space="preserve"> дії та спрямованість управління ризиками для якості</w:t>
      </w:r>
      <w:r>
        <w:rPr>
          <w:rFonts w:eastAsia="Times New Roman"/>
        </w:rPr>
        <w:t xml:space="preserve">. Короткий опис усього ланцюга. </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2.5 Огляди якості донорської крові та компонентів крові.</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Короткий опис застосовуваної методології</w:t>
      </w:r>
      <w:r>
        <w:rPr>
          <w:rFonts w:eastAsia="Times New Roman"/>
        </w:rPr>
        <w:t>,</w:t>
      </w:r>
      <w:r w:rsidRPr="00873563">
        <w:rPr>
          <w:rFonts w:eastAsia="Times New Roman"/>
        </w:rPr>
        <w:t xml:space="preserve"> </w:t>
      </w:r>
      <w:r>
        <w:rPr>
          <w:rFonts w:eastAsia="Times New Roman"/>
        </w:rPr>
        <w:t>з</w:t>
      </w:r>
      <w:r w:rsidRPr="00873563">
        <w:rPr>
          <w:rFonts w:eastAsia="Times New Roman"/>
        </w:rPr>
        <w:t xml:space="preserve"> посилання</w:t>
      </w:r>
      <w:r>
        <w:rPr>
          <w:rFonts w:eastAsia="Times New Roman"/>
        </w:rPr>
        <w:t>м</w:t>
      </w:r>
      <w:r w:rsidRPr="00873563">
        <w:rPr>
          <w:rFonts w:eastAsia="Times New Roman"/>
        </w:rPr>
        <w:t xml:space="preserve"> на внутрішні процедури</w:t>
      </w:r>
      <w:r>
        <w:rPr>
          <w:rFonts w:eastAsia="Times New Roman"/>
        </w:rPr>
        <w:t>.</w:t>
      </w:r>
    </w:p>
    <w:p w:rsidR="00AA6310" w:rsidRPr="0011283E" w:rsidRDefault="00AA6310" w:rsidP="00AA6310">
      <w:pPr>
        <w:shd w:val="clear" w:color="auto" w:fill="FFFFFF"/>
        <w:spacing w:line="360" w:lineRule="auto"/>
        <w:ind w:firstLine="0"/>
        <w:jc w:val="both"/>
        <w:rPr>
          <w:rFonts w:eastAsia="Times New Roman"/>
          <w:b/>
        </w:rPr>
      </w:pPr>
      <w:r w:rsidRPr="0011283E">
        <w:rPr>
          <w:rFonts w:eastAsia="Times New Roman"/>
          <w:b/>
        </w:rPr>
        <w:t>3. Персонал</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lastRenderedPageBreak/>
        <w:t>- Організаційна схема суб’єкта системи крові, із зазначенням посад/звань у заходах щодо управління якістю, належної практики для суб’єктів системи крові, заготівлі, тестування, переробки, зберігання, розподілу та реалізації, та контролю якості донорської крові та компонентів крові, включаючи керівний персонал та Відповідальну особу.</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Кількість робітників, зайнятих в управлінні якістю, заготівлі, тестуванні, переробки, розподілу та реалізації, зберіганні, контролі якості відповідно.</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Дані персоналу (керівника, </w:t>
      </w:r>
      <w:r>
        <w:rPr>
          <w:rFonts w:eastAsia="Times New Roman"/>
        </w:rPr>
        <w:t xml:space="preserve">Відповідальної особи, </w:t>
      </w:r>
      <w:r w:rsidRPr="00873563">
        <w:rPr>
          <w:rFonts w:eastAsia="Times New Roman"/>
        </w:rPr>
        <w:t>медичних працівників з числа лікарів, молодших спеціалістів з медичною освітою) (освіта та досвід роботи) про відповідність кваліфікаційним вимогам (</w:t>
      </w:r>
      <w:r>
        <w:rPr>
          <w:rFonts w:eastAsia="Times New Roman"/>
        </w:rPr>
        <w:t>Додаток 2</w:t>
      </w:r>
      <w:r w:rsidRPr="00873563">
        <w:rPr>
          <w:rFonts w:eastAsia="Times New Roman"/>
        </w:rPr>
        <w:t>).</w:t>
      </w:r>
    </w:p>
    <w:p w:rsidR="00AA6310" w:rsidRPr="0011283E" w:rsidRDefault="00AA6310" w:rsidP="00AA6310">
      <w:pPr>
        <w:shd w:val="clear" w:color="auto" w:fill="FFFFFF"/>
        <w:spacing w:line="360" w:lineRule="auto"/>
        <w:ind w:firstLine="0"/>
        <w:jc w:val="both"/>
        <w:rPr>
          <w:rFonts w:eastAsia="Times New Roman"/>
          <w:b/>
        </w:rPr>
      </w:pPr>
      <w:r w:rsidRPr="0011283E">
        <w:rPr>
          <w:rFonts w:eastAsia="Times New Roman"/>
          <w:b/>
        </w:rPr>
        <w:t>4. Приміщення та обладнання</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4.1 Приміщення</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Короткий опис підприємства; розмір дільниці та перелік споруд. </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Простий план та опис зон із зазначенням масштабу (архітектурні та інженерні креслення не потрібні).</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Плани та схеми виробничих зон суб’єкта системи крові де вказано технологічні операції у приміщеннях (як Додаток </w:t>
      </w:r>
      <w:r>
        <w:rPr>
          <w:rFonts w:eastAsia="Times New Roman"/>
        </w:rPr>
        <w:t>3</w:t>
      </w:r>
      <w:r w:rsidRPr="00873563">
        <w:rPr>
          <w:rFonts w:eastAsia="Times New Roman"/>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Плани складських приміщень суб’єкту системи крові та зон зберігання із зазначенням спеціальних зон для зберігання біологічних відходів.</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Короткий опис спеціальних умов зберігання, за необхідності, що не зазначені на планах.</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4.1.1 Короткий опис систем нагрівання, вентиляції та кондиціонування повітря:</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Принципи для визначення постачання повітря, температури, вологості </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4.2 Обладнання</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4.2.1 Перелік основного технологічного обладнання та контрольного лабораторного обладнання відповідно до зон із зазначенням його призначення та з ідентифікацією критичних одиниць (як Додаток </w:t>
      </w:r>
      <w:r>
        <w:rPr>
          <w:rFonts w:eastAsia="Times New Roman"/>
        </w:rPr>
        <w:t>4</w:t>
      </w:r>
      <w:r w:rsidRPr="00873563">
        <w:rPr>
          <w:rFonts w:eastAsia="Times New Roman"/>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4.2.2 Очищення та санітарна обробка:</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Короткий опис методів очищення та санітарної обробки.</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4.2.3 Системи обробки даних та комп’ютеризовані системи, критичні з огляду на вимоги щодо якості та належної практики:</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Опис систем обробки даних та комп’ютеризованих систем, критичних з огляду на вимоги щодо якості та належної практики (за винятком обладнання із спеціальними логічними контролерами, що програмуються (</w:t>
      </w:r>
      <w:proofErr w:type="spellStart"/>
      <w:r w:rsidRPr="00873563">
        <w:rPr>
          <w:rFonts w:eastAsia="Times New Roman"/>
        </w:rPr>
        <w:t>PLCs</w:t>
      </w:r>
      <w:proofErr w:type="spellEnd"/>
      <w:r w:rsidRPr="00873563">
        <w:rPr>
          <w:rFonts w:eastAsia="Times New Roman"/>
        </w:rPr>
        <w:t xml:space="preserve"> – </w:t>
      </w:r>
      <w:proofErr w:type="spellStart"/>
      <w:r w:rsidRPr="00873563">
        <w:rPr>
          <w:rFonts w:eastAsia="Times New Roman"/>
        </w:rPr>
        <w:t>Programmable</w:t>
      </w:r>
      <w:proofErr w:type="spellEnd"/>
      <w:r w:rsidRPr="00873563">
        <w:rPr>
          <w:rFonts w:eastAsia="Times New Roman"/>
        </w:rPr>
        <w:t xml:space="preserve"> </w:t>
      </w:r>
      <w:proofErr w:type="spellStart"/>
      <w:r w:rsidRPr="00873563">
        <w:rPr>
          <w:rFonts w:eastAsia="Times New Roman"/>
        </w:rPr>
        <w:t>Logic</w:t>
      </w:r>
      <w:proofErr w:type="spellEnd"/>
      <w:r w:rsidRPr="00873563">
        <w:rPr>
          <w:rFonts w:eastAsia="Times New Roman"/>
        </w:rPr>
        <w:t xml:space="preserve"> </w:t>
      </w:r>
      <w:proofErr w:type="spellStart"/>
      <w:r w:rsidRPr="00873563">
        <w:rPr>
          <w:rFonts w:eastAsia="Times New Roman"/>
        </w:rPr>
        <w:t>Controllers</w:t>
      </w:r>
      <w:proofErr w:type="spellEnd"/>
      <w:r w:rsidRPr="00873563">
        <w:rPr>
          <w:rFonts w:eastAsia="Times New Roman"/>
        </w:rPr>
        <w:t>).</w:t>
      </w:r>
    </w:p>
    <w:p w:rsidR="00AA6310" w:rsidRPr="0011283E" w:rsidRDefault="00AA6310" w:rsidP="00AA6310">
      <w:pPr>
        <w:shd w:val="clear" w:color="auto" w:fill="FFFFFF"/>
        <w:spacing w:line="360" w:lineRule="auto"/>
        <w:ind w:firstLine="0"/>
        <w:jc w:val="both"/>
        <w:rPr>
          <w:rFonts w:eastAsia="Times New Roman"/>
          <w:b/>
        </w:rPr>
      </w:pPr>
      <w:r w:rsidRPr="0011283E">
        <w:rPr>
          <w:rFonts w:eastAsia="Times New Roman"/>
          <w:b/>
        </w:rPr>
        <w:t>5. Документація</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Опис системи документування.</w:t>
      </w:r>
    </w:p>
    <w:p w:rsidR="00AA6310" w:rsidRPr="0011283E" w:rsidRDefault="00AA6310" w:rsidP="00AA6310">
      <w:pPr>
        <w:shd w:val="clear" w:color="auto" w:fill="FFFFFF"/>
        <w:spacing w:line="360" w:lineRule="auto"/>
        <w:ind w:firstLine="0"/>
        <w:jc w:val="both"/>
        <w:rPr>
          <w:rFonts w:eastAsia="Times New Roman"/>
          <w:b/>
        </w:rPr>
      </w:pPr>
      <w:r w:rsidRPr="0011283E">
        <w:rPr>
          <w:rFonts w:eastAsia="Times New Roman"/>
          <w:b/>
        </w:rPr>
        <w:t>6. Технологічний процес.</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lastRenderedPageBreak/>
        <w:t xml:space="preserve">6.1 </w:t>
      </w:r>
      <w:r>
        <w:rPr>
          <w:rFonts w:eastAsia="Times New Roman"/>
        </w:rPr>
        <w:t>Номенклатура донорської крові та компонентів</w:t>
      </w:r>
      <w:r w:rsidRPr="00873563">
        <w:rPr>
          <w:rFonts w:eastAsia="Times New Roman"/>
        </w:rPr>
        <w:t xml:space="preserve"> (може бути зроблено посилання на Додаток 1)</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Види донорської крові та компонентів крові, що виготовлюються, включаючи:</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Затверджену суб’єктом системи крові номенклатуру </w:t>
      </w:r>
      <w:r w:rsidRPr="00A54E55">
        <w:rPr>
          <w:rFonts w:eastAsia="Times New Roman"/>
        </w:rPr>
        <w:t>донорської крові та</w:t>
      </w:r>
      <w:r>
        <w:rPr>
          <w:rFonts w:eastAsia="Times New Roman"/>
        </w:rPr>
        <w:t xml:space="preserve"> </w:t>
      </w:r>
      <w:r w:rsidRPr="00873563">
        <w:rPr>
          <w:rFonts w:eastAsia="Times New Roman"/>
        </w:rPr>
        <w:t>компонентів крові, що виготовлюються на даний час</w:t>
      </w:r>
      <w:r>
        <w:rPr>
          <w:rFonts w:eastAsia="Times New Roman"/>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Компоненти крові, технологія виготовлення яких передбачає застосування додаткових методів обробки (наприклад, відмивання, вірус-інактивація, опромінення тощо), за наявності.</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6.2 </w:t>
      </w:r>
      <w:proofErr w:type="spellStart"/>
      <w:r w:rsidRPr="00873563">
        <w:rPr>
          <w:rFonts w:eastAsia="Times New Roman"/>
        </w:rPr>
        <w:t>Валідація</w:t>
      </w:r>
      <w:proofErr w:type="spellEnd"/>
      <w:r w:rsidRPr="00873563">
        <w:rPr>
          <w:rFonts w:eastAsia="Times New Roman"/>
        </w:rPr>
        <w:t xml:space="preserve"> процесів</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Короткий опис загальної політики щодо </w:t>
      </w:r>
      <w:proofErr w:type="spellStart"/>
      <w:r w:rsidRPr="00873563">
        <w:rPr>
          <w:rFonts w:eastAsia="Times New Roman"/>
        </w:rPr>
        <w:t>валідації</w:t>
      </w:r>
      <w:proofErr w:type="spellEnd"/>
      <w:r w:rsidRPr="00873563">
        <w:rPr>
          <w:rFonts w:eastAsia="Times New Roman"/>
        </w:rPr>
        <w:t xml:space="preserve"> процесів.</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6.3 Управління матеріалами та складське зберігання</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Заходи щодо поводження з лікарськими засобами та медичними виробами, пакувальними матеріалами, що використовуються в технологічних процесах, донорською кров’ю та компонентами крові, які перебувають в карантині до випуску та випущених і дозволених до розподілу та реалізації (готова продукція), включаючи відбір проб, карантин, видачу дозволу на випуск та зберігання.</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Заходи щодо поводження із забракованими матеріалами, донорською кров’ю та компонентами крові.</w:t>
      </w:r>
    </w:p>
    <w:p w:rsidR="00AA6310" w:rsidRPr="0011283E" w:rsidRDefault="00AA6310" w:rsidP="00AA6310">
      <w:pPr>
        <w:shd w:val="clear" w:color="auto" w:fill="FFFFFF"/>
        <w:spacing w:line="360" w:lineRule="auto"/>
        <w:ind w:firstLine="0"/>
        <w:jc w:val="both"/>
        <w:rPr>
          <w:rFonts w:eastAsia="Times New Roman"/>
          <w:b/>
        </w:rPr>
      </w:pPr>
      <w:r w:rsidRPr="0011283E">
        <w:rPr>
          <w:rFonts w:eastAsia="Times New Roman"/>
          <w:b/>
        </w:rPr>
        <w:t>7. Контроль якості</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Опис діяльності з контролю якості, що здійснюється суб’єктом системи крові, в тому числі окремо для кожної зони, щодо випробувань.- </w:t>
      </w:r>
    </w:p>
    <w:p w:rsidR="00AA6310" w:rsidRPr="0011283E" w:rsidRDefault="00AA6310" w:rsidP="00AA6310">
      <w:pPr>
        <w:shd w:val="clear" w:color="auto" w:fill="FFFFFF"/>
        <w:spacing w:line="360" w:lineRule="auto"/>
        <w:ind w:firstLine="0"/>
        <w:jc w:val="both"/>
        <w:rPr>
          <w:rFonts w:eastAsia="Times New Roman"/>
          <w:b/>
        </w:rPr>
      </w:pPr>
      <w:r w:rsidRPr="0011283E">
        <w:rPr>
          <w:rFonts w:eastAsia="Times New Roman"/>
          <w:b/>
        </w:rPr>
        <w:t>8. Розподіл та реалізація донорської крові та компонентів крові, повернення донорської крові та компонентів крові до запасів суб’єктів системи крові для подальшого повторного розподілу чи реалізації, рекламації, невідповідності та відкликання продукції</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8.1 Розподіл та реалізація донорської крові та компонентів крові (частина, що знаходиться у сфері відповідальності суб’єкту системи крові)</w:t>
      </w:r>
    </w:p>
    <w:p w:rsidR="00AA6310" w:rsidRPr="00AD31B8" w:rsidRDefault="00AA6310" w:rsidP="00AA6310">
      <w:pPr>
        <w:shd w:val="clear" w:color="auto" w:fill="FFFFFF"/>
        <w:spacing w:line="360" w:lineRule="auto"/>
        <w:ind w:firstLine="0"/>
        <w:jc w:val="both"/>
        <w:rPr>
          <w:rFonts w:eastAsia="Times New Roman"/>
          <w:color w:val="FF0000"/>
        </w:rPr>
      </w:pPr>
      <w:r w:rsidRPr="00873563">
        <w:rPr>
          <w:rFonts w:eastAsia="Times New Roman"/>
        </w:rPr>
        <w:t xml:space="preserve">- </w:t>
      </w:r>
      <w:r w:rsidRPr="0011283E">
        <w:rPr>
          <w:rFonts w:eastAsia="Times New Roman"/>
          <w:color w:val="000000" w:themeColor="text1"/>
        </w:rPr>
        <w:t xml:space="preserve">Опис системи, що використовується для підтвердження того, що кожний заклад охорони здоров’я, куди здійснюється розподіл та реалізація донорської крові та компонентів  крові має право надавати послуги з трансфузії (у складі закладу охорони здоров’я наявний лікарняний банк крові, лабораторія </w:t>
      </w:r>
      <w:proofErr w:type="spellStart"/>
      <w:r w:rsidRPr="0011283E">
        <w:rPr>
          <w:rFonts w:eastAsia="Times New Roman"/>
          <w:color w:val="000000" w:themeColor="text1"/>
        </w:rPr>
        <w:t>трансфузійної</w:t>
      </w:r>
      <w:proofErr w:type="spellEnd"/>
      <w:r w:rsidRPr="0011283E">
        <w:rPr>
          <w:rFonts w:eastAsia="Times New Roman"/>
          <w:color w:val="000000" w:themeColor="text1"/>
        </w:rPr>
        <w:t xml:space="preserve"> імунології, створений та функціонує лікарняний </w:t>
      </w:r>
      <w:proofErr w:type="spellStart"/>
      <w:r w:rsidRPr="0011283E">
        <w:rPr>
          <w:rFonts w:eastAsia="Times New Roman"/>
          <w:color w:val="000000" w:themeColor="text1"/>
        </w:rPr>
        <w:t>трансфузіологічний</w:t>
      </w:r>
      <w:proofErr w:type="spellEnd"/>
      <w:r w:rsidRPr="0011283E">
        <w:rPr>
          <w:rFonts w:eastAsia="Times New Roman"/>
          <w:color w:val="000000" w:themeColor="text1"/>
        </w:rPr>
        <w:t xml:space="preserve"> комітет).</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Короткий опис системи забезпечення відповідних</w:t>
      </w:r>
      <w:r w:rsidRPr="00873563">
        <w:rPr>
          <w:rFonts w:eastAsia="Times New Roman"/>
          <w:lang w:val="ru-RU"/>
        </w:rPr>
        <w:t xml:space="preserve"> </w:t>
      </w:r>
      <w:r w:rsidRPr="00873563">
        <w:rPr>
          <w:rFonts w:eastAsia="Times New Roman"/>
        </w:rPr>
        <w:t>умов навколишнього середовища під час транспортування донорської крові та компонентів крові</w:t>
      </w:r>
      <w:r>
        <w:rPr>
          <w:rFonts w:eastAsia="Times New Roman"/>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lastRenderedPageBreak/>
        <w:t xml:space="preserve">- Заходи для розподілу та реалізації донорської крові та компонентів крові та методи, якими підтримується </w:t>
      </w:r>
      <w:proofErr w:type="spellStart"/>
      <w:r w:rsidRPr="00873563">
        <w:rPr>
          <w:rFonts w:eastAsia="Times New Roman"/>
        </w:rPr>
        <w:t>простежуваність</w:t>
      </w:r>
      <w:proofErr w:type="spellEnd"/>
      <w:r w:rsidRPr="00873563">
        <w:rPr>
          <w:rFonts w:eastAsia="Times New Roman"/>
        </w:rPr>
        <w:t>.</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8.2 Рекламації, дефекти та відкликання продукції</w:t>
      </w:r>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Короткий опис системи щодо обробки рекламацій, дефектів та відкликання продукції</w:t>
      </w:r>
    </w:p>
    <w:p w:rsidR="00AA6310" w:rsidRPr="0011283E" w:rsidRDefault="00AA6310" w:rsidP="00AA6310">
      <w:pPr>
        <w:shd w:val="clear" w:color="auto" w:fill="FFFFFF"/>
        <w:spacing w:line="360" w:lineRule="auto"/>
        <w:ind w:firstLine="0"/>
        <w:jc w:val="both"/>
        <w:rPr>
          <w:rFonts w:eastAsia="Times New Roman"/>
          <w:b/>
        </w:rPr>
      </w:pPr>
      <w:r w:rsidRPr="0011283E">
        <w:rPr>
          <w:rFonts w:eastAsia="Times New Roman"/>
          <w:b/>
        </w:rPr>
        <w:t xml:space="preserve">9. </w:t>
      </w:r>
      <w:proofErr w:type="spellStart"/>
      <w:r w:rsidRPr="0011283E">
        <w:rPr>
          <w:rFonts w:eastAsia="Times New Roman"/>
          <w:b/>
        </w:rPr>
        <w:t>Самоінспекція</w:t>
      </w:r>
      <w:proofErr w:type="spellEnd"/>
    </w:p>
    <w:p w:rsidR="00AA6310" w:rsidRPr="00873563" w:rsidRDefault="00AA6310" w:rsidP="00AA6310">
      <w:pPr>
        <w:shd w:val="clear" w:color="auto" w:fill="FFFFFF"/>
        <w:spacing w:line="360" w:lineRule="auto"/>
        <w:ind w:firstLine="0"/>
        <w:jc w:val="both"/>
        <w:rPr>
          <w:rFonts w:eastAsia="Times New Roman"/>
        </w:rPr>
      </w:pPr>
      <w:r w:rsidRPr="00873563">
        <w:rPr>
          <w:rFonts w:eastAsia="Times New Roman"/>
        </w:rPr>
        <w:t xml:space="preserve">- Короткий опис системи </w:t>
      </w:r>
      <w:proofErr w:type="spellStart"/>
      <w:r w:rsidRPr="00873563">
        <w:rPr>
          <w:rFonts w:eastAsia="Times New Roman"/>
        </w:rPr>
        <w:t>самоінспекції</w:t>
      </w:r>
      <w:proofErr w:type="spellEnd"/>
      <w:r w:rsidRPr="00873563">
        <w:rPr>
          <w:rFonts w:eastAsia="Times New Roman"/>
        </w:rPr>
        <w:t>.</w:t>
      </w:r>
    </w:p>
    <w:p w:rsidR="00AA6310" w:rsidRDefault="00AA6310" w:rsidP="00AA6310">
      <w:pPr>
        <w:shd w:val="clear" w:color="auto" w:fill="FFFFFF"/>
        <w:spacing w:line="360" w:lineRule="auto"/>
        <w:ind w:firstLine="0"/>
        <w:jc w:val="both"/>
        <w:rPr>
          <w:b/>
        </w:rPr>
      </w:pPr>
    </w:p>
    <w:p w:rsidR="00AA6310" w:rsidRPr="00873563" w:rsidRDefault="00AA6310" w:rsidP="00AA6310">
      <w:pPr>
        <w:shd w:val="clear" w:color="auto" w:fill="FFFFFF"/>
        <w:spacing w:line="360" w:lineRule="auto"/>
        <w:ind w:firstLine="0"/>
        <w:jc w:val="both"/>
        <w:rPr>
          <w:b/>
        </w:rPr>
      </w:pPr>
      <w:r w:rsidRPr="00873563">
        <w:rPr>
          <w:b/>
        </w:rPr>
        <w:t>Перелік необхідних додатків:</w:t>
      </w:r>
    </w:p>
    <w:p w:rsidR="00AA6310" w:rsidRDefault="00AA6310" w:rsidP="00AA6310">
      <w:pPr>
        <w:shd w:val="clear" w:color="auto" w:fill="FFFFFF"/>
        <w:spacing w:line="360" w:lineRule="auto"/>
        <w:ind w:firstLine="0"/>
        <w:jc w:val="both"/>
      </w:pPr>
      <w:r>
        <w:t xml:space="preserve">1. </w:t>
      </w:r>
      <w:r w:rsidRPr="00873563">
        <w:t xml:space="preserve">Номенклатура </w:t>
      </w:r>
      <w:r w:rsidRPr="00A54E55">
        <w:t>донорської крові та компонентів</w:t>
      </w:r>
      <w:r w:rsidRPr="00873563">
        <w:t xml:space="preserve"> крові, що виготовляються суб’єктом системи крові на даний час. Слід зазначати: назву групи компонентів, назву компонентів крові.</w:t>
      </w:r>
    </w:p>
    <w:p w:rsidR="00AA6310" w:rsidRPr="00873563" w:rsidRDefault="00AA6310" w:rsidP="00AA6310">
      <w:pPr>
        <w:shd w:val="clear" w:color="auto" w:fill="FFFFFF"/>
        <w:spacing w:line="360" w:lineRule="auto"/>
        <w:ind w:firstLine="0"/>
        <w:jc w:val="both"/>
      </w:pPr>
      <w:r>
        <w:t>2</w:t>
      </w:r>
      <w:r w:rsidRPr="00873563">
        <w:t xml:space="preserve">. Дані персоналу (керівника, </w:t>
      </w:r>
      <w:r w:rsidR="00A7133C">
        <w:t xml:space="preserve">Відповідальної особи, </w:t>
      </w:r>
      <w:bookmarkStart w:id="0" w:name="_GoBack"/>
      <w:bookmarkEnd w:id="0"/>
      <w:r w:rsidRPr="00873563">
        <w:t>медичних працівників з числа лікарів, молодших спеціалістів з медичною освітою) (освіта та досвід роботи) про відповідність кваліфікаційним вимогам.</w:t>
      </w:r>
    </w:p>
    <w:p w:rsidR="00AA6310" w:rsidRPr="00873563" w:rsidRDefault="00AA6310" w:rsidP="00AA6310">
      <w:pPr>
        <w:shd w:val="clear" w:color="auto" w:fill="FFFFFF"/>
        <w:spacing w:line="360" w:lineRule="auto"/>
        <w:ind w:firstLine="0"/>
        <w:jc w:val="both"/>
        <w:rPr>
          <w:rFonts w:eastAsia="Times New Roman"/>
        </w:rPr>
      </w:pPr>
      <w:r>
        <w:t>3</w:t>
      </w:r>
      <w:r w:rsidRPr="00873563">
        <w:t xml:space="preserve">. </w:t>
      </w:r>
      <w:r w:rsidRPr="00873563">
        <w:rPr>
          <w:rFonts w:eastAsia="Times New Roman"/>
        </w:rPr>
        <w:t>Плани та схеми виробничих зон суб’єкта системи крові та структурних підрозділів, з вказанням технологічних операцій у приміщеннях.</w:t>
      </w:r>
    </w:p>
    <w:p w:rsidR="00AA6310" w:rsidRDefault="00AA6310" w:rsidP="00AA6310">
      <w:pPr>
        <w:shd w:val="clear" w:color="auto" w:fill="FFFFFF"/>
        <w:spacing w:line="360" w:lineRule="auto"/>
        <w:ind w:firstLine="0"/>
        <w:jc w:val="both"/>
        <w:rPr>
          <w:rFonts w:eastAsia="Times New Roman"/>
        </w:rPr>
      </w:pPr>
      <w:r>
        <w:rPr>
          <w:rFonts w:eastAsia="Times New Roman"/>
        </w:rPr>
        <w:t>4</w:t>
      </w:r>
      <w:r w:rsidRPr="00873563">
        <w:rPr>
          <w:rFonts w:eastAsia="Times New Roman"/>
        </w:rPr>
        <w:t>. Перелік основного технологічного обладнання та контрольного лабораторного обладнання відповідно до зон із зазначенням його призначення та з ідентифікацією критичних одиниць.</w:t>
      </w:r>
    </w:p>
    <w:p w:rsidR="00AA6310" w:rsidRDefault="00AA6310" w:rsidP="00AA6310">
      <w:pPr>
        <w:shd w:val="clear" w:color="auto" w:fill="FFFFFF"/>
        <w:spacing w:line="360" w:lineRule="auto"/>
        <w:ind w:firstLine="0"/>
        <w:jc w:val="both"/>
        <w:rPr>
          <w:rFonts w:eastAsia="Times New Roman"/>
        </w:rPr>
      </w:pPr>
    </w:p>
    <w:p w:rsidR="00AA6310" w:rsidRPr="00873563" w:rsidRDefault="00AA6310" w:rsidP="00AA6310">
      <w:pPr>
        <w:shd w:val="clear" w:color="auto" w:fill="FFFFFF"/>
        <w:spacing w:line="360" w:lineRule="auto"/>
        <w:ind w:firstLine="0"/>
        <w:jc w:val="both"/>
      </w:pPr>
    </w:p>
    <w:p w:rsidR="0088285C" w:rsidRDefault="0088285C"/>
    <w:sectPr w:rsidR="0088285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71" w:rsidRDefault="009A4A71" w:rsidP="0011283E">
      <w:r>
        <w:separator/>
      </w:r>
    </w:p>
  </w:endnote>
  <w:endnote w:type="continuationSeparator" w:id="0">
    <w:p w:rsidR="009A4A71" w:rsidRDefault="009A4A71" w:rsidP="0011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71" w:rsidRDefault="009A4A71" w:rsidP="0011283E">
      <w:r>
        <w:separator/>
      </w:r>
    </w:p>
  </w:footnote>
  <w:footnote w:type="continuationSeparator" w:id="0">
    <w:p w:rsidR="009A4A71" w:rsidRDefault="009A4A71" w:rsidP="0011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95" w:rsidRPr="009C3095" w:rsidRDefault="009C3095" w:rsidP="009C3095">
    <w:pPr>
      <w:pStyle w:val="a3"/>
      <w:jc w:val="right"/>
      <w:rPr>
        <w:sz w:val="26"/>
        <w:szCs w:val="26"/>
      </w:rPr>
    </w:pPr>
    <w:r>
      <w:rPr>
        <w:sz w:val="26"/>
        <w:szCs w:val="26"/>
      </w:rPr>
      <w:t>п</w:t>
    </w:r>
    <w:r w:rsidRPr="009C3095">
      <w:rPr>
        <w:sz w:val="26"/>
        <w:szCs w:val="26"/>
      </w:rPr>
      <w:t>родовження Додатку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68"/>
    <w:rsid w:val="0011283E"/>
    <w:rsid w:val="002C2A68"/>
    <w:rsid w:val="005F5405"/>
    <w:rsid w:val="00880907"/>
    <w:rsid w:val="0088285C"/>
    <w:rsid w:val="009A4A71"/>
    <w:rsid w:val="009C3095"/>
    <w:rsid w:val="00A7133C"/>
    <w:rsid w:val="00AA6310"/>
    <w:rsid w:val="00B101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404D"/>
  <w15:chartTrackingRefBased/>
  <w15:docId w15:val="{708AB2B9-9473-482F-96FF-C834E90C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310"/>
    <w:pPr>
      <w:spacing w:after="0" w:line="240" w:lineRule="auto"/>
      <w:ind w:firstLine="709"/>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83E"/>
    <w:pPr>
      <w:tabs>
        <w:tab w:val="center" w:pos="4819"/>
        <w:tab w:val="right" w:pos="9639"/>
      </w:tabs>
    </w:pPr>
  </w:style>
  <w:style w:type="character" w:customStyle="1" w:styleId="a4">
    <w:name w:val="Верхній колонтитул Знак"/>
    <w:basedOn w:val="a0"/>
    <w:link w:val="a3"/>
    <w:uiPriority w:val="99"/>
    <w:rsid w:val="0011283E"/>
    <w:rPr>
      <w:rFonts w:ascii="Times New Roman" w:eastAsia="Calibri" w:hAnsi="Times New Roman" w:cs="Times New Roman"/>
      <w:sz w:val="24"/>
      <w:szCs w:val="24"/>
    </w:rPr>
  </w:style>
  <w:style w:type="paragraph" w:styleId="a5">
    <w:name w:val="footer"/>
    <w:basedOn w:val="a"/>
    <w:link w:val="a6"/>
    <w:uiPriority w:val="99"/>
    <w:unhideWhenUsed/>
    <w:rsid w:val="0011283E"/>
    <w:pPr>
      <w:tabs>
        <w:tab w:val="center" w:pos="4819"/>
        <w:tab w:val="right" w:pos="9639"/>
      </w:tabs>
    </w:pPr>
  </w:style>
  <w:style w:type="character" w:customStyle="1" w:styleId="a6">
    <w:name w:val="Нижній колонтитул Знак"/>
    <w:basedOn w:val="a0"/>
    <w:link w:val="a5"/>
    <w:uiPriority w:val="99"/>
    <w:rsid w:val="0011283E"/>
    <w:rPr>
      <w:rFonts w:ascii="Times New Roman" w:eastAsia="Calibri" w:hAnsi="Times New Roman" w:cs="Times New Roman"/>
      <w:sz w:val="24"/>
      <w:szCs w:val="24"/>
    </w:rPr>
  </w:style>
  <w:style w:type="paragraph" w:styleId="a7">
    <w:name w:val="Balloon Text"/>
    <w:basedOn w:val="a"/>
    <w:link w:val="a8"/>
    <w:uiPriority w:val="99"/>
    <w:semiHidden/>
    <w:unhideWhenUsed/>
    <w:rsid w:val="0011283E"/>
    <w:rPr>
      <w:rFonts w:ascii="Segoe UI" w:hAnsi="Segoe UI" w:cs="Segoe UI"/>
      <w:sz w:val="18"/>
      <w:szCs w:val="18"/>
    </w:rPr>
  </w:style>
  <w:style w:type="character" w:customStyle="1" w:styleId="a8">
    <w:name w:val="Текст у виносці Знак"/>
    <w:basedOn w:val="a0"/>
    <w:link w:val="a7"/>
    <w:uiPriority w:val="99"/>
    <w:semiHidden/>
    <w:rsid w:val="001128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6161</Words>
  <Characters>3512</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6</cp:revision>
  <cp:lastPrinted>2023-08-29T06:49:00Z</cp:lastPrinted>
  <dcterms:created xsi:type="dcterms:W3CDTF">2023-08-14T08:55:00Z</dcterms:created>
  <dcterms:modified xsi:type="dcterms:W3CDTF">2023-08-29T10:26:00Z</dcterms:modified>
</cp:coreProperties>
</file>