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44B7" w14:textId="77777777" w:rsidR="004A6512" w:rsidRDefault="002A34E2" w:rsidP="00FB789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 w:rsidRPr="00A35370"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</w:t>
      </w:r>
      <w:bookmarkStart w:id="2" w:name="_Hlk94113498"/>
    </w:p>
    <w:p w14:paraId="7EA8DCA5" w14:textId="48041DDA" w:rsidR="003664F9" w:rsidRPr="00FB7899" w:rsidRDefault="003664F9" w:rsidP="00FB7899">
      <w:pPr>
        <w:pStyle w:val="af5"/>
        <w:spacing w:before="0" w:after="0"/>
        <w:rPr>
          <w:rFonts w:ascii="Times New Roman" w:hAnsi="Times New Roman"/>
          <w:sz w:val="28"/>
          <w:szCs w:val="28"/>
        </w:rPr>
      </w:pPr>
      <w:r w:rsidRPr="003664F9">
        <w:rPr>
          <w:rFonts w:ascii="Times New Roman" w:hAnsi="Times New Roman"/>
          <w:bCs/>
          <w:sz w:val="28"/>
          <w:szCs w:val="28"/>
        </w:rPr>
        <w:t>до проєкту постанови Кабінету Міністрів України</w:t>
      </w:r>
      <w:bookmarkStart w:id="3" w:name="_Hlk94100314"/>
      <w:r w:rsidRPr="003664F9">
        <w:rPr>
          <w:rFonts w:ascii="Times New Roman" w:hAnsi="Times New Roman"/>
          <w:bCs/>
          <w:sz w:val="28"/>
          <w:szCs w:val="28"/>
        </w:rPr>
        <w:t xml:space="preserve"> «</w:t>
      </w:r>
      <w:bookmarkStart w:id="4" w:name="_Hlk143524399"/>
      <w:bookmarkStart w:id="5" w:name="_Hlk143525245"/>
      <w:bookmarkEnd w:id="3"/>
      <w:r w:rsidR="00FB7899">
        <w:rPr>
          <w:rFonts w:ascii="Times New Roman" w:hAnsi="Times New Roman"/>
          <w:sz w:val="28"/>
          <w:szCs w:val="28"/>
        </w:rPr>
        <w:t xml:space="preserve">Про внесення змін до постанов Кабінету </w:t>
      </w:r>
      <w:r w:rsidR="00FB7899">
        <w:rPr>
          <w:rFonts w:ascii="Times New Roman" w:hAnsi="Times New Roman"/>
          <w:sz w:val="28"/>
          <w:szCs w:val="28"/>
        </w:rPr>
        <w:br/>
        <w:t>Міністрів України від 30 листопада 2016 р. № 929 і</w:t>
      </w:r>
      <w:r w:rsidR="00FB7899">
        <w:rPr>
          <w:rFonts w:ascii="Times New Roman" w:hAnsi="Times New Roman"/>
          <w:sz w:val="28"/>
          <w:szCs w:val="28"/>
        </w:rPr>
        <w:br/>
        <w:t>від 27 лютого 2019 р. № 136</w:t>
      </w:r>
      <w:bookmarkEnd w:id="4"/>
      <w:bookmarkEnd w:id="5"/>
      <w:r w:rsidR="00E146AC" w:rsidRPr="00E146AC">
        <w:rPr>
          <w:rFonts w:ascii="Times New Roman" w:hAnsi="Times New Roman"/>
          <w:bCs/>
          <w:sz w:val="28"/>
          <w:szCs w:val="28"/>
        </w:rPr>
        <w:t>»</w:t>
      </w:r>
    </w:p>
    <w:p w14:paraId="2F25A0AD" w14:textId="77777777" w:rsidR="004A6512" w:rsidRPr="00E146AC" w:rsidRDefault="004A6512" w:rsidP="00D310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3862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6"/>
        <w:gridCol w:w="6946"/>
      </w:tblGrid>
      <w:tr w:rsidR="00A35370" w:rsidRPr="00A35370" w14:paraId="43FF574D" w14:textId="77777777">
        <w:tc>
          <w:tcPr>
            <w:tcW w:w="6916" w:type="dxa"/>
          </w:tcPr>
          <w:bookmarkEnd w:id="2"/>
          <w:p w14:paraId="5191D4B4" w14:textId="77777777" w:rsidR="003B1F34" w:rsidRPr="00A35370" w:rsidRDefault="002A34E2">
            <w:pPr>
              <w:spacing w:before="60" w:after="60"/>
              <w:ind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70"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6946" w:type="dxa"/>
          </w:tcPr>
          <w:p w14:paraId="6299DEA5" w14:textId="77777777" w:rsidR="003B1F34" w:rsidRPr="00A35370" w:rsidRDefault="002A34E2">
            <w:pPr>
              <w:spacing w:before="60" w:after="60"/>
              <w:ind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70"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 відповідного положення проєкту акта</w:t>
            </w:r>
          </w:p>
        </w:tc>
      </w:tr>
      <w:tr w:rsidR="00A35370" w:rsidRPr="00A35370" w14:paraId="63788BD3" w14:textId="77777777">
        <w:tc>
          <w:tcPr>
            <w:tcW w:w="13862" w:type="dxa"/>
            <w:gridSpan w:val="2"/>
          </w:tcPr>
          <w:p w14:paraId="35C50C60" w14:textId="77777777" w:rsidR="003B1F34" w:rsidRPr="00A35370" w:rsidRDefault="002A3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537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Ліцензійні умови провадження господарської діяльності з виробництва лікарських засобів, оптової та </w:t>
            </w:r>
            <w:bookmarkStart w:id="6" w:name="_Hlk139452947"/>
            <w:r w:rsidRPr="00A3537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роздрібної торгівлі лікарськими засобами</w:t>
            </w:r>
            <w:bookmarkEnd w:id="6"/>
            <w:r w:rsidRPr="00A3537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, імпорту лікарських засобів (крім активних фармацевтичних інгредієнтів), затверджені постановою Кабінету Міністрів України від 30 листопада 2016 р</w:t>
            </w:r>
            <w:r w:rsidR="0006251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оку</w:t>
            </w:r>
            <w:r w:rsidRPr="00A35370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№ 929</w:t>
            </w:r>
          </w:p>
        </w:tc>
      </w:tr>
      <w:tr w:rsidR="00A35370" w:rsidRPr="00A35370" w14:paraId="126B370E" w14:textId="77777777">
        <w:tc>
          <w:tcPr>
            <w:tcW w:w="6916" w:type="dxa"/>
          </w:tcPr>
          <w:p w14:paraId="1FA9306C" w14:textId="77777777" w:rsidR="0000530A" w:rsidRPr="0092375A" w:rsidRDefault="0000530A" w:rsidP="000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5A">
              <w:rPr>
                <w:rFonts w:ascii="Times New Roman" w:eastAsia="Times New Roman" w:hAnsi="Times New Roman" w:cs="Times New Roman"/>
                <w:sz w:val="28"/>
                <w:szCs w:val="28"/>
              </w:rPr>
              <w:t>165. Ліцензіат, який провадить діяльність з роздрібної торгівлі лікарськими засобами:</w:t>
            </w:r>
          </w:p>
          <w:p w14:paraId="38B35496" w14:textId="77777777" w:rsidR="0000530A" w:rsidRPr="0092375A" w:rsidRDefault="0000530A" w:rsidP="000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5A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</w:p>
          <w:p w14:paraId="57D0878D" w14:textId="0EFB332D" w:rsidR="003B1F34" w:rsidRPr="000003F9" w:rsidRDefault="0000530A" w:rsidP="000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3F9">
              <w:rPr>
                <w:rFonts w:ascii="Times New Roman" w:hAnsi="Times New Roman"/>
                <w:bCs/>
                <w:sz w:val="28"/>
                <w:szCs w:val="28"/>
              </w:rPr>
              <w:t xml:space="preserve">у разі розміщення аптеки та/або аптечного пункту ліцензіата в приміщенні та/або </w:t>
            </w:r>
            <w:r w:rsidRPr="00E4436E">
              <w:rPr>
                <w:rFonts w:ascii="Times New Roman" w:hAnsi="Times New Roman"/>
                <w:b/>
                <w:sz w:val="28"/>
                <w:szCs w:val="28"/>
              </w:rPr>
              <w:t xml:space="preserve">на території лікувально-профілактичного закладу </w:t>
            </w:r>
            <w:r w:rsidRPr="000003F9">
              <w:rPr>
                <w:rFonts w:ascii="Times New Roman" w:hAnsi="Times New Roman"/>
                <w:bCs/>
                <w:sz w:val="28"/>
                <w:szCs w:val="28"/>
              </w:rPr>
              <w:t xml:space="preserve">ліцензіат укладає договір про </w:t>
            </w:r>
            <w:proofErr w:type="spellStart"/>
            <w:r w:rsidRPr="000003F9">
              <w:rPr>
                <w:rFonts w:ascii="Times New Roman" w:hAnsi="Times New Roman"/>
                <w:bCs/>
                <w:sz w:val="28"/>
                <w:szCs w:val="28"/>
              </w:rPr>
              <w:t>реімбурсацію</w:t>
            </w:r>
            <w:proofErr w:type="spellEnd"/>
            <w:r w:rsidRPr="000003F9">
              <w:rPr>
                <w:rFonts w:ascii="Times New Roman" w:hAnsi="Times New Roman"/>
                <w:bCs/>
                <w:sz w:val="28"/>
                <w:szCs w:val="28"/>
              </w:rPr>
              <w:t xml:space="preserve"> відповідно до Порядку укладення, зміни та припинення договору про </w:t>
            </w:r>
            <w:proofErr w:type="spellStart"/>
            <w:r w:rsidRPr="000003F9">
              <w:rPr>
                <w:rFonts w:ascii="Times New Roman" w:hAnsi="Times New Roman"/>
                <w:bCs/>
                <w:sz w:val="28"/>
                <w:szCs w:val="28"/>
              </w:rPr>
              <w:t>реімбурсацію</w:t>
            </w:r>
            <w:proofErr w:type="spellEnd"/>
            <w:r w:rsidRPr="000003F9">
              <w:rPr>
                <w:rFonts w:ascii="Times New Roman" w:hAnsi="Times New Roman"/>
                <w:bCs/>
                <w:sz w:val="28"/>
                <w:szCs w:val="28"/>
              </w:rPr>
              <w:t xml:space="preserve"> та за формою, що затверджені постановою Кабінету Міністрів України від                             27 лютого 2019 р. № 136 “Деякі питання щодо договорів про </w:t>
            </w:r>
            <w:proofErr w:type="spellStart"/>
            <w:r w:rsidRPr="000003F9">
              <w:rPr>
                <w:rFonts w:ascii="Times New Roman" w:hAnsi="Times New Roman"/>
                <w:bCs/>
                <w:sz w:val="28"/>
                <w:szCs w:val="28"/>
              </w:rPr>
              <w:t>реімбурсацію</w:t>
            </w:r>
            <w:proofErr w:type="spellEnd"/>
            <w:r w:rsidRPr="000003F9">
              <w:rPr>
                <w:rFonts w:ascii="Times New Roman" w:hAnsi="Times New Roman"/>
                <w:bCs/>
                <w:sz w:val="28"/>
                <w:szCs w:val="28"/>
              </w:rPr>
              <w:t>” (Офіційний вісник України, 2019 р., № 21, ст. 717)</w:t>
            </w:r>
            <w:r w:rsidRPr="000003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14:paraId="75ED0A24" w14:textId="77777777" w:rsidR="00683EDB" w:rsidRPr="0092375A" w:rsidRDefault="00683EDB" w:rsidP="0068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5A">
              <w:rPr>
                <w:rFonts w:ascii="Times New Roman" w:eastAsia="Times New Roman" w:hAnsi="Times New Roman" w:cs="Times New Roman"/>
                <w:sz w:val="28"/>
                <w:szCs w:val="28"/>
              </w:rPr>
              <w:t>165. Ліцензіат, який провадить діяльність з роздрібної торгівлі лікарськими засобами:</w:t>
            </w:r>
          </w:p>
          <w:p w14:paraId="21AB0E67" w14:textId="77777777" w:rsidR="00683EDB" w:rsidRPr="0092375A" w:rsidRDefault="00683EDB" w:rsidP="00683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5A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</w:p>
          <w:p w14:paraId="4C5C77C2" w14:textId="7C34E451" w:rsidR="00006150" w:rsidRPr="00E178B6" w:rsidRDefault="0049130D" w:rsidP="00005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32385643"/>
            <w:r w:rsidRPr="00E178B6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E178B6" w:rsidRPr="00E178B6">
              <w:rPr>
                <w:rFonts w:ascii="Times New Roman" w:hAnsi="Times New Roman"/>
                <w:b/>
                <w:sz w:val="28"/>
                <w:szCs w:val="28"/>
              </w:rPr>
              <w:t>іцензіат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який здійснює діяльність з роздрібної торгівлі лікарськими засобами</w:t>
            </w:r>
            <w:r w:rsidR="00E178B6" w:rsidRPr="00E178B6">
              <w:rPr>
                <w:rFonts w:ascii="Times New Roman" w:hAnsi="Times New Roman"/>
                <w:b/>
                <w:sz w:val="28"/>
                <w:szCs w:val="28"/>
              </w:rPr>
              <w:t xml:space="preserve"> укладає договір про </w:t>
            </w:r>
            <w:proofErr w:type="spellStart"/>
            <w:r w:rsidR="00E178B6" w:rsidRPr="00E178B6">
              <w:rPr>
                <w:rFonts w:ascii="Times New Roman" w:hAnsi="Times New Roman"/>
                <w:b/>
                <w:sz w:val="28"/>
                <w:szCs w:val="28"/>
              </w:rPr>
              <w:t>реімбурсацію</w:t>
            </w:r>
            <w:proofErr w:type="spellEnd"/>
            <w:r w:rsidR="00E178B6" w:rsidRPr="00E178B6">
              <w:rPr>
                <w:rFonts w:ascii="Times New Roman" w:hAnsi="Times New Roman"/>
                <w:b/>
                <w:sz w:val="28"/>
                <w:szCs w:val="28"/>
              </w:rPr>
              <w:t xml:space="preserve"> відповідно до Порядку укладення, зміни та припинення договору про </w:t>
            </w:r>
            <w:proofErr w:type="spellStart"/>
            <w:r w:rsidR="00E178B6" w:rsidRPr="00E178B6">
              <w:rPr>
                <w:rFonts w:ascii="Times New Roman" w:hAnsi="Times New Roman"/>
                <w:b/>
                <w:sz w:val="28"/>
                <w:szCs w:val="28"/>
              </w:rPr>
              <w:t>реімбурсацію</w:t>
            </w:r>
            <w:proofErr w:type="spellEnd"/>
            <w:r w:rsidR="00E178B6" w:rsidRPr="00E178B6">
              <w:rPr>
                <w:rFonts w:ascii="Times New Roman" w:hAnsi="Times New Roman"/>
                <w:b/>
                <w:sz w:val="28"/>
                <w:szCs w:val="28"/>
              </w:rPr>
              <w:t xml:space="preserve"> та за формою, що затверджені постановою Кабінету Міністрів України від </w:t>
            </w:r>
            <w:r w:rsidR="00FB4FB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="00E178B6" w:rsidRPr="00E178B6">
              <w:rPr>
                <w:rFonts w:ascii="Times New Roman" w:hAnsi="Times New Roman"/>
                <w:b/>
                <w:sz w:val="28"/>
                <w:szCs w:val="28"/>
              </w:rPr>
              <w:t xml:space="preserve">27 лютого 2019 р. № 136 “Деякі питання щодо договорів про </w:t>
            </w:r>
            <w:proofErr w:type="spellStart"/>
            <w:r w:rsidR="00E178B6" w:rsidRPr="00E178B6">
              <w:rPr>
                <w:rFonts w:ascii="Times New Roman" w:hAnsi="Times New Roman"/>
                <w:b/>
                <w:sz w:val="28"/>
                <w:szCs w:val="28"/>
              </w:rPr>
              <w:t>реімбурсацію</w:t>
            </w:r>
            <w:proofErr w:type="spellEnd"/>
            <w:r w:rsidR="00E178B6" w:rsidRPr="00E178B6">
              <w:rPr>
                <w:rFonts w:ascii="Times New Roman" w:hAnsi="Times New Roman"/>
                <w:b/>
                <w:sz w:val="28"/>
                <w:szCs w:val="28"/>
              </w:rPr>
              <w:t>” (Офіційний вісник України, 2019 р., № 21, ст. 717)</w:t>
            </w:r>
            <w:bookmarkEnd w:id="7"/>
            <w:r w:rsidR="00217E27" w:rsidRPr="00E178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F01631" w:rsidRPr="00A35370" w14:paraId="482F1583" w14:textId="77777777" w:rsidTr="00423511">
        <w:tc>
          <w:tcPr>
            <w:tcW w:w="13862" w:type="dxa"/>
            <w:gridSpan w:val="2"/>
          </w:tcPr>
          <w:p w14:paraId="362BC4F1" w14:textId="7D78BA71" w:rsidR="00F01631" w:rsidRPr="0092375A" w:rsidRDefault="00A55EF9" w:rsidP="00F01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</w:t>
            </w:r>
            <w:r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укладення, зміни та припинення договору про </w:t>
            </w:r>
            <w:proofErr w:type="spellStart"/>
            <w:r w:rsidRPr="009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реімбурсацію</w:t>
            </w:r>
            <w:proofErr w:type="spellEnd"/>
            <w:r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затверджен</w:t>
            </w:r>
            <w:r w:rsidR="00D33D5B"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постановою </w:t>
            </w:r>
            <w:r w:rsidR="00F01631"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Кабінету Міністрів України від 27 лютого 2019 р</w:t>
            </w:r>
            <w:r w:rsidR="001534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оку</w:t>
            </w:r>
            <w:r w:rsidR="00F01631"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№ 136 </w:t>
            </w:r>
          </w:p>
        </w:tc>
      </w:tr>
      <w:tr w:rsidR="00E70847" w:rsidRPr="00A35370" w14:paraId="179E0C42" w14:textId="77777777">
        <w:tc>
          <w:tcPr>
            <w:tcW w:w="6916" w:type="dxa"/>
          </w:tcPr>
          <w:p w14:paraId="6B048428" w14:textId="346AF4FE" w:rsidR="00E70847" w:rsidRPr="00480F5E" w:rsidRDefault="00480F5E" w:rsidP="00480F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0F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Pr="00480F5E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1</w:t>
            </w:r>
            <w:r w:rsidRPr="00480F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Суб’єкти господарювання, аптеки та/або аптечні пункти яких, розміщені у приміщенні та/або на території лікувально-профілактичного закладу, зобов’язані укласти договір з НСЗУ з метою забезпечення в таких аптечних закладах, відпуску </w:t>
            </w:r>
            <w:r w:rsidRPr="00480F5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споживачам лікарських засобів та/або медичних виробів згідно з умовами укладеного договору.</w:t>
            </w:r>
          </w:p>
        </w:tc>
        <w:tc>
          <w:tcPr>
            <w:tcW w:w="6946" w:type="dxa"/>
          </w:tcPr>
          <w:p w14:paraId="274EDDC1" w14:textId="64A4EBE6" w:rsidR="00E70847" w:rsidRPr="0092375A" w:rsidRDefault="00E70847" w:rsidP="00BB7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8" w:name="_Hlk174438849"/>
            <w:r w:rsidRPr="009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r w:rsidRPr="0092375A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 w:rsidRPr="009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Суб’єкти господарювання,</w:t>
            </w:r>
            <w:r w:rsidR="00480F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які здійснюють діяльність з роздрібної торгівлі лікарськими засобами</w:t>
            </w:r>
            <w:r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зобов’язані укласти договір з НСЗУ з метою забезпечення в таких </w:t>
            </w:r>
            <w:r w:rsidR="0092375A"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аптечних </w:t>
            </w:r>
            <w:r w:rsidR="00BB7D0C" w:rsidRPr="0092375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закладах</w:t>
            </w:r>
            <w:r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відпуску споживачам лікарських засобів та/або </w:t>
            </w:r>
            <w:r w:rsidRPr="00923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медичних виробів згідно з умовами укладеного договору.</w:t>
            </w:r>
            <w:bookmarkEnd w:id="8"/>
          </w:p>
        </w:tc>
      </w:tr>
    </w:tbl>
    <w:p w14:paraId="22383FE7" w14:textId="0A34E712" w:rsidR="004A6512" w:rsidRDefault="004A6512" w:rsidP="00A451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914733" w14:textId="333CC180" w:rsidR="00562A88" w:rsidRDefault="00562A88" w:rsidP="00A451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D82D22" w14:textId="77777777" w:rsidR="00A27384" w:rsidRDefault="00A27384" w:rsidP="00A451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D809AB" w14:textId="77777777" w:rsidR="00297304" w:rsidRDefault="00297304" w:rsidP="00A2738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Голова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Державної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служби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1CA02389" w14:textId="77777777" w:rsidR="00297304" w:rsidRDefault="00297304" w:rsidP="00A2738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лікарських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засобів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</w:p>
    <w:p w14:paraId="22B0ED57" w14:textId="518101BF" w:rsidR="00562A88" w:rsidRPr="00A27384" w:rsidRDefault="00297304" w:rsidP="00A27384">
      <w:p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контролю за наркотиками </w:t>
      </w:r>
      <w:r w:rsidR="00A273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A27384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="00A2738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2738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Роман ІСАЄНКО</w:t>
      </w:r>
    </w:p>
    <w:p w14:paraId="2E150BC4" w14:textId="77777777" w:rsidR="00A27384" w:rsidRDefault="00A27384" w:rsidP="00A451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AC2521" w14:textId="7B19F691" w:rsidR="00A4513E" w:rsidRPr="00A4513E" w:rsidRDefault="00A4513E" w:rsidP="00A4513E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13E">
        <w:rPr>
          <w:rFonts w:ascii="Times New Roman" w:eastAsia="Times New Roman" w:hAnsi="Times New Roman" w:cs="Times New Roman"/>
          <w:bCs/>
          <w:sz w:val="28"/>
          <w:szCs w:val="28"/>
        </w:rPr>
        <w:t>_______ ___________________ 202</w:t>
      </w:r>
      <w:r w:rsidR="000322D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393B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4513E">
        <w:rPr>
          <w:rFonts w:ascii="Times New Roman" w:eastAsia="Times New Roman" w:hAnsi="Times New Roman" w:cs="Times New Roman"/>
          <w:bCs/>
          <w:sz w:val="28"/>
          <w:szCs w:val="28"/>
        </w:rPr>
        <w:t>р.</w:t>
      </w:r>
    </w:p>
    <w:sectPr w:rsidR="00A4513E" w:rsidRPr="00A4513E" w:rsidSect="00092532">
      <w:headerReference w:type="default" r:id="rId8"/>
      <w:pgSz w:w="16838" w:h="11906" w:orient="landscape"/>
      <w:pgMar w:top="851" w:right="1134" w:bottom="1418" w:left="1134" w:header="709" w:footer="709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3BBF1" w16cex:dateUtc="2023-07-20T10:58:00Z"/>
  <w16cex:commentExtensible w16cex:durableId="2863BC19" w16cex:dateUtc="2023-07-20T1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3CC42" w14:textId="77777777" w:rsidR="001B7CFD" w:rsidRDefault="001B7CFD">
      <w:pPr>
        <w:spacing w:after="0" w:line="240" w:lineRule="auto"/>
      </w:pPr>
      <w:r>
        <w:separator/>
      </w:r>
    </w:p>
  </w:endnote>
  <w:endnote w:type="continuationSeparator" w:id="0">
    <w:p w14:paraId="5F725C5A" w14:textId="77777777" w:rsidR="001B7CFD" w:rsidRDefault="001B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A5FE1" w14:textId="77777777" w:rsidR="001B7CFD" w:rsidRDefault="001B7CFD">
      <w:pPr>
        <w:spacing w:after="0" w:line="240" w:lineRule="auto"/>
      </w:pPr>
      <w:r>
        <w:separator/>
      </w:r>
    </w:p>
  </w:footnote>
  <w:footnote w:type="continuationSeparator" w:id="0">
    <w:p w14:paraId="748F11A9" w14:textId="77777777" w:rsidR="001B7CFD" w:rsidRDefault="001B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ADC5" w14:textId="7406885D" w:rsidR="003B1F34" w:rsidRDefault="002A34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297304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647F14D0" w14:textId="77777777" w:rsidR="003B1F34" w:rsidRDefault="003B1F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34"/>
    <w:rsid w:val="000003F9"/>
    <w:rsid w:val="0000530A"/>
    <w:rsid w:val="00006150"/>
    <w:rsid w:val="000322D6"/>
    <w:rsid w:val="00040212"/>
    <w:rsid w:val="00045CD6"/>
    <w:rsid w:val="000508D2"/>
    <w:rsid w:val="00062516"/>
    <w:rsid w:val="0006408F"/>
    <w:rsid w:val="00092532"/>
    <w:rsid w:val="000A2E27"/>
    <w:rsid w:val="000A47EB"/>
    <w:rsid w:val="000F6762"/>
    <w:rsid w:val="00113F53"/>
    <w:rsid w:val="001232DE"/>
    <w:rsid w:val="00143269"/>
    <w:rsid w:val="00153498"/>
    <w:rsid w:val="00191CD8"/>
    <w:rsid w:val="001B44F1"/>
    <w:rsid w:val="001B6473"/>
    <w:rsid w:val="001B7CFD"/>
    <w:rsid w:val="001D3640"/>
    <w:rsid w:val="002107F0"/>
    <w:rsid w:val="00217E27"/>
    <w:rsid w:val="00252AE7"/>
    <w:rsid w:val="002659F2"/>
    <w:rsid w:val="002708C4"/>
    <w:rsid w:val="00271E2F"/>
    <w:rsid w:val="00297304"/>
    <w:rsid w:val="002A34E2"/>
    <w:rsid w:val="002D07D5"/>
    <w:rsid w:val="00314153"/>
    <w:rsid w:val="003229FD"/>
    <w:rsid w:val="00337D81"/>
    <w:rsid w:val="003518D2"/>
    <w:rsid w:val="003562D9"/>
    <w:rsid w:val="003664F9"/>
    <w:rsid w:val="00376DD1"/>
    <w:rsid w:val="00393B37"/>
    <w:rsid w:val="003A58E5"/>
    <w:rsid w:val="003A7501"/>
    <w:rsid w:val="003B1F34"/>
    <w:rsid w:val="003B5BFD"/>
    <w:rsid w:val="003C40EA"/>
    <w:rsid w:val="00403DD5"/>
    <w:rsid w:val="00423535"/>
    <w:rsid w:val="004569F8"/>
    <w:rsid w:val="00480F5E"/>
    <w:rsid w:val="00486300"/>
    <w:rsid w:val="0049130D"/>
    <w:rsid w:val="004A6512"/>
    <w:rsid w:val="004C0BCD"/>
    <w:rsid w:val="004E2BE3"/>
    <w:rsid w:val="004F64D3"/>
    <w:rsid w:val="00562A88"/>
    <w:rsid w:val="005908DB"/>
    <w:rsid w:val="005D2073"/>
    <w:rsid w:val="005E0B05"/>
    <w:rsid w:val="005F40A8"/>
    <w:rsid w:val="006110BE"/>
    <w:rsid w:val="006177B7"/>
    <w:rsid w:val="00623F7B"/>
    <w:rsid w:val="00625B08"/>
    <w:rsid w:val="00631249"/>
    <w:rsid w:val="006332C5"/>
    <w:rsid w:val="00653815"/>
    <w:rsid w:val="00683EDB"/>
    <w:rsid w:val="006B1E2C"/>
    <w:rsid w:val="006C52D8"/>
    <w:rsid w:val="006D27F5"/>
    <w:rsid w:val="006E1EA5"/>
    <w:rsid w:val="0071250D"/>
    <w:rsid w:val="007151CB"/>
    <w:rsid w:val="007418AB"/>
    <w:rsid w:val="00747E03"/>
    <w:rsid w:val="00764C5B"/>
    <w:rsid w:val="007653DE"/>
    <w:rsid w:val="007A5ED6"/>
    <w:rsid w:val="007E10F4"/>
    <w:rsid w:val="0084346D"/>
    <w:rsid w:val="0085253A"/>
    <w:rsid w:val="008751E3"/>
    <w:rsid w:val="0089447D"/>
    <w:rsid w:val="008F1E96"/>
    <w:rsid w:val="008F444D"/>
    <w:rsid w:val="008F5E64"/>
    <w:rsid w:val="009124F4"/>
    <w:rsid w:val="0092375A"/>
    <w:rsid w:val="00930080"/>
    <w:rsid w:val="00955D74"/>
    <w:rsid w:val="0097700E"/>
    <w:rsid w:val="0099204C"/>
    <w:rsid w:val="00995C97"/>
    <w:rsid w:val="009A279E"/>
    <w:rsid w:val="009C4FF0"/>
    <w:rsid w:val="009E5BA8"/>
    <w:rsid w:val="00A0170B"/>
    <w:rsid w:val="00A27384"/>
    <w:rsid w:val="00A35370"/>
    <w:rsid w:val="00A448AB"/>
    <w:rsid w:val="00A4513E"/>
    <w:rsid w:val="00A55EF9"/>
    <w:rsid w:val="00A65A5F"/>
    <w:rsid w:val="00A76200"/>
    <w:rsid w:val="00A97A80"/>
    <w:rsid w:val="00AB7326"/>
    <w:rsid w:val="00B0188E"/>
    <w:rsid w:val="00B26247"/>
    <w:rsid w:val="00B530D3"/>
    <w:rsid w:val="00B963D4"/>
    <w:rsid w:val="00BB7D0C"/>
    <w:rsid w:val="00BF6C9F"/>
    <w:rsid w:val="00C16EA5"/>
    <w:rsid w:val="00C369F5"/>
    <w:rsid w:val="00C80061"/>
    <w:rsid w:val="00C848EC"/>
    <w:rsid w:val="00CB147A"/>
    <w:rsid w:val="00CC0DBF"/>
    <w:rsid w:val="00CC1BDA"/>
    <w:rsid w:val="00CF3FF4"/>
    <w:rsid w:val="00D310F8"/>
    <w:rsid w:val="00D31E3C"/>
    <w:rsid w:val="00D33D5B"/>
    <w:rsid w:val="00D6367A"/>
    <w:rsid w:val="00D7072B"/>
    <w:rsid w:val="00D80431"/>
    <w:rsid w:val="00D83042"/>
    <w:rsid w:val="00D86730"/>
    <w:rsid w:val="00D86CEA"/>
    <w:rsid w:val="00DC4059"/>
    <w:rsid w:val="00DE7A26"/>
    <w:rsid w:val="00E11EB5"/>
    <w:rsid w:val="00E146AC"/>
    <w:rsid w:val="00E178B6"/>
    <w:rsid w:val="00E4436E"/>
    <w:rsid w:val="00E70847"/>
    <w:rsid w:val="00EF7924"/>
    <w:rsid w:val="00F01631"/>
    <w:rsid w:val="00F351E4"/>
    <w:rsid w:val="00F46767"/>
    <w:rsid w:val="00F50996"/>
    <w:rsid w:val="00F6085B"/>
    <w:rsid w:val="00F67D7E"/>
    <w:rsid w:val="00FB4FB3"/>
    <w:rsid w:val="00FB7899"/>
    <w:rsid w:val="00FD7485"/>
    <w:rsid w:val="00FF0A73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5713"/>
  <w15:docId w15:val="{A8178573-2551-4391-93B6-AEB7011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62A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1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uiPriority w:val="39"/>
    <w:rsid w:val="0001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01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162AC"/>
    <w:rPr>
      <w:color w:val="0000FF"/>
      <w:u w:val="single"/>
    </w:rPr>
  </w:style>
  <w:style w:type="character" w:customStyle="1" w:styleId="rvts11">
    <w:name w:val="rvts11"/>
    <w:basedOn w:val="a0"/>
    <w:rsid w:val="000162AC"/>
  </w:style>
  <w:style w:type="paragraph" w:styleId="a6">
    <w:name w:val="Normal (Web)"/>
    <w:basedOn w:val="a"/>
    <w:uiPriority w:val="99"/>
    <w:unhideWhenUsed/>
    <w:rsid w:val="0001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ий текст"/>
    <w:basedOn w:val="a"/>
    <w:uiPriority w:val="99"/>
    <w:rsid w:val="000162A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table" w:customStyle="1" w:styleId="20">
    <w:name w:val="Сетка таблицы2"/>
    <w:basedOn w:val="a1"/>
    <w:next w:val="a4"/>
    <w:uiPriority w:val="39"/>
    <w:rsid w:val="000162AC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C77BE"/>
  </w:style>
  <w:style w:type="paragraph" w:styleId="aa">
    <w:name w:val="footer"/>
    <w:basedOn w:val="a"/>
    <w:link w:val="ab"/>
    <w:uiPriority w:val="99"/>
    <w:unhideWhenUsed/>
    <w:rsid w:val="00BC7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C77BE"/>
  </w:style>
  <w:style w:type="character" w:customStyle="1" w:styleId="rvts46">
    <w:name w:val="rvts46"/>
    <w:basedOn w:val="a0"/>
    <w:rsid w:val="006672F9"/>
  </w:style>
  <w:style w:type="character" w:customStyle="1" w:styleId="rvts23">
    <w:name w:val="rvts23"/>
    <w:basedOn w:val="a0"/>
    <w:rsid w:val="00CD10F3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35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35370"/>
    <w:rPr>
      <w:rFonts w:ascii="Segoe UI" w:hAnsi="Segoe UI" w:cs="Segoe UI"/>
      <w:sz w:val="18"/>
      <w:szCs w:val="18"/>
    </w:rPr>
  </w:style>
  <w:style w:type="character" w:customStyle="1" w:styleId="rvts37">
    <w:name w:val="rvts37"/>
    <w:basedOn w:val="a0"/>
    <w:rsid w:val="00F01631"/>
  </w:style>
  <w:style w:type="character" w:styleId="af0">
    <w:name w:val="annotation reference"/>
    <w:basedOn w:val="a0"/>
    <w:uiPriority w:val="99"/>
    <w:semiHidden/>
    <w:unhideWhenUsed/>
    <w:rsid w:val="008F5E6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F5E64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8F5E6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5E64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8F5E64"/>
    <w:rPr>
      <w:b/>
      <w:bCs/>
      <w:sz w:val="20"/>
      <w:szCs w:val="20"/>
    </w:rPr>
  </w:style>
  <w:style w:type="paragraph" w:customStyle="1" w:styleId="af5">
    <w:name w:val="Назва документа"/>
    <w:basedOn w:val="a"/>
    <w:next w:val="a"/>
    <w:rsid w:val="00FB789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V4+IgfGqIJGT6Ox7Cgi51YycQ==">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9D730E-7521-4325-B22E-DE9F3A83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lawyer14 Пожидаева</dc:creator>
  <cp:lastModifiedBy>Бабійчук Оксана Миколаївна</cp:lastModifiedBy>
  <cp:revision>2</cp:revision>
  <cp:lastPrinted>2024-08-21T12:02:00Z</cp:lastPrinted>
  <dcterms:created xsi:type="dcterms:W3CDTF">2024-08-29T07:43:00Z</dcterms:created>
  <dcterms:modified xsi:type="dcterms:W3CDTF">2024-08-29T07:43:00Z</dcterms:modified>
</cp:coreProperties>
</file>