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64C" w:rsidRDefault="00574EF1">
      <w:pPr>
        <w:ind w:firstLine="709"/>
        <w:jc w:val="center"/>
        <w:rPr>
          <w:sz w:val="28"/>
          <w:szCs w:val="28"/>
        </w:rPr>
      </w:pPr>
      <w:r>
        <w:rPr>
          <w:sz w:val="28"/>
          <w:szCs w:val="28"/>
        </w:rPr>
        <w:t xml:space="preserve">                                          Додаток  2 до  </w:t>
      </w:r>
    </w:p>
    <w:p w:rsidR="0054764C" w:rsidRDefault="00574EF1">
      <w:pPr>
        <w:spacing w:line="276" w:lineRule="auto"/>
        <w:ind w:firstLine="709"/>
        <w:jc w:val="right"/>
        <w:rPr>
          <w:sz w:val="28"/>
          <w:szCs w:val="28"/>
        </w:rPr>
      </w:pPr>
      <w:r>
        <w:rPr>
          <w:sz w:val="28"/>
          <w:szCs w:val="28"/>
        </w:rPr>
        <w:t xml:space="preserve">Аналізу регуляторного впливу  </w:t>
      </w:r>
    </w:p>
    <w:p w:rsidR="0054764C" w:rsidRDefault="00574EF1">
      <w:pPr>
        <w:tabs>
          <w:tab w:val="left" w:pos="5784"/>
        </w:tabs>
        <w:spacing w:after="200" w:line="276" w:lineRule="auto"/>
        <w:ind w:firstLine="709"/>
        <w:rPr>
          <w:sz w:val="28"/>
          <w:szCs w:val="28"/>
        </w:rPr>
      </w:pPr>
      <w:r>
        <w:rPr>
          <w:sz w:val="28"/>
          <w:szCs w:val="28"/>
        </w:rPr>
        <w:tab/>
      </w:r>
    </w:p>
    <w:p w:rsidR="0054764C" w:rsidRDefault="00574EF1">
      <w:pPr>
        <w:ind w:firstLine="709"/>
        <w:jc w:val="center"/>
        <w:rPr>
          <w:b/>
          <w:sz w:val="28"/>
          <w:szCs w:val="28"/>
        </w:rPr>
      </w:pPr>
      <w:r>
        <w:rPr>
          <w:b/>
          <w:sz w:val="28"/>
          <w:szCs w:val="28"/>
        </w:rPr>
        <w:t>ТЕСТ</w:t>
      </w:r>
    </w:p>
    <w:p w:rsidR="0054764C" w:rsidRDefault="00574EF1">
      <w:pPr>
        <w:ind w:firstLine="709"/>
        <w:jc w:val="center"/>
        <w:rPr>
          <w:b/>
          <w:sz w:val="28"/>
          <w:szCs w:val="28"/>
        </w:rPr>
      </w:pPr>
      <w:r>
        <w:rPr>
          <w:b/>
          <w:sz w:val="28"/>
          <w:szCs w:val="28"/>
        </w:rPr>
        <w:t>малого підприємництва (М-Тест)</w:t>
      </w:r>
    </w:p>
    <w:p w:rsidR="0054764C" w:rsidRDefault="0054764C">
      <w:pPr>
        <w:ind w:firstLine="709"/>
        <w:jc w:val="both"/>
        <w:rPr>
          <w:sz w:val="28"/>
          <w:szCs w:val="28"/>
        </w:rPr>
      </w:pPr>
    </w:p>
    <w:p w:rsidR="0054764C" w:rsidRPr="00574EF1" w:rsidRDefault="00574EF1">
      <w:pPr>
        <w:ind w:firstLine="709"/>
        <w:jc w:val="both"/>
        <w:rPr>
          <w:sz w:val="28"/>
          <w:szCs w:val="28"/>
        </w:rPr>
      </w:pPr>
      <w:r w:rsidRPr="00574EF1">
        <w:rPr>
          <w:sz w:val="28"/>
          <w:szCs w:val="28"/>
        </w:rPr>
        <w:t>1. Консультації з представниками мікро- та малого підприємництва щодо оцінки впливу регулювання</w:t>
      </w:r>
    </w:p>
    <w:p w:rsidR="0054764C" w:rsidRPr="00574EF1" w:rsidRDefault="00574EF1">
      <w:pPr>
        <w:ind w:firstLine="720"/>
        <w:jc w:val="both"/>
        <w:rPr>
          <w:sz w:val="28"/>
          <w:szCs w:val="28"/>
        </w:rPr>
      </w:pPr>
      <w:r w:rsidRPr="00574EF1">
        <w:rPr>
          <w:sz w:val="28"/>
          <w:szCs w:val="28"/>
        </w:rPr>
        <w:t xml:space="preserve">Консультації щодо визначення впливу запропонованого регулювання на суб’єктів малого підприємництва здійснено шляхом розміщення </w:t>
      </w:r>
      <w:proofErr w:type="spellStart"/>
      <w:r w:rsidRPr="00574EF1">
        <w:rPr>
          <w:sz w:val="28"/>
          <w:szCs w:val="28"/>
        </w:rPr>
        <w:t>проєкту</w:t>
      </w:r>
      <w:proofErr w:type="spellEnd"/>
      <w:r w:rsidRPr="00574EF1">
        <w:rPr>
          <w:sz w:val="28"/>
          <w:szCs w:val="28"/>
        </w:rPr>
        <w:t xml:space="preserve"> постанови на офіційному </w:t>
      </w:r>
      <w:proofErr w:type="spellStart"/>
      <w:r w:rsidRPr="00574EF1">
        <w:rPr>
          <w:sz w:val="28"/>
          <w:szCs w:val="28"/>
        </w:rPr>
        <w:t>вебсайті</w:t>
      </w:r>
      <w:proofErr w:type="spellEnd"/>
      <w:r w:rsidRPr="00574EF1">
        <w:rPr>
          <w:sz w:val="28"/>
          <w:szCs w:val="28"/>
        </w:rPr>
        <w:t xml:space="preserve"> Державної служби України з лікарських засобів та контролю за наркотиками для громадського обговорення з метою отримання зауважень та пропозицій.</w:t>
      </w:r>
    </w:p>
    <w:p w:rsidR="0054764C" w:rsidRPr="00574EF1" w:rsidRDefault="0054764C">
      <w:pPr>
        <w:ind w:firstLine="720"/>
        <w:jc w:val="both"/>
        <w:rPr>
          <w:sz w:val="28"/>
          <w:szCs w:val="28"/>
        </w:rPr>
      </w:pPr>
    </w:p>
    <w:tbl>
      <w:tblPr>
        <w:tblStyle w:val="a5"/>
        <w:tblW w:w="92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3946"/>
        <w:gridCol w:w="1907"/>
        <w:gridCol w:w="2867"/>
      </w:tblGrid>
      <w:tr w:rsidR="0054764C" w:rsidRPr="00574EF1" w:rsidTr="00574EF1">
        <w:tc>
          <w:tcPr>
            <w:tcW w:w="555" w:type="dxa"/>
            <w:tcBorders>
              <w:top w:val="single" w:sz="4" w:space="0" w:color="000000"/>
              <w:left w:val="single" w:sz="4" w:space="0" w:color="000000"/>
              <w:bottom w:val="single" w:sz="4" w:space="0" w:color="000000"/>
              <w:right w:val="single" w:sz="4" w:space="0" w:color="000000"/>
            </w:tcBorders>
          </w:tcPr>
          <w:p w:rsidR="0054764C" w:rsidRPr="00574EF1" w:rsidRDefault="00574EF1">
            <w:pPr>
              <w:jc w:val="both"/>
              <w:rPr>
                <w:sz w:val="28"/>
                <w:szCs w:val="28"/>
              </w:rPr>
            </w:pPr>
            <w:r w:rsidRPr="00574EF1">
              <w:rPr>
                <w:sz w:val="28"/>
                <w:szCs w:val="28"/>
              </w:rPr>
              <w:t>№ з/п</w:t>
            </w:r>
          </w:p>
        </w:tc>
        <w:tc>
          <w:tcPr>
            <w:tcW w:w="3946" w:type="dxa"/>
            <w:tcBorders>
              <w:top w:val="single" w:sz="4" w:space="0" w:color="000000"/>
              <w:left w:val="single" w:sz="4" w:space="0" w:color="000000"/>
              <w:bottom w:val="single" w:sz="4" w:space="0" w:color="000000"/>
              <w:right w:val="single" w:sz="4" w:space="0" w:color="000000"/>
            </w:tcBorders>
          </w:tcPr>
          <w:p w:rsidR="0054764C" w:rsidRPr="00574EF1" w:rsidRDefault="00574EF1">
            <w:pPr>
              <w:jc w:val="both"/>
              <w:rPr>
                <w:sz w:val="28"/>
                <w:szCs w:val="28"/>
              </w:rPr>
            </w:pPr>
            <w:r w:rsidRPr="00574EF1">
              <w:rPr>
                <w:sz w:val="28"/>
                <w:szCs w:val="28"/>
              </w:rPr>
              <w:t>Вид консультації (публічні консультації прямі (круглі столи,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907" w:type="dxa"/>
            <w:tcBorders>
              <w:top w:val="single" w:sz="4" w:space="0" w:color="000000"/>
              <w:left w:val="single" w:sz="4" w:space="0" w:color="000000"/>
              <w:bottom w:val="single" w:sz="4" w:space="0" w:color="000000"/>
              <w:right w:val="single" w:sz="4" w:space="0" w:color="000000"/>
            </w:tcBorders>
          </w:tcPr>
          <w:p w:rsidR="0054764C" w:rsidRPr="00574EF1" w:rsidRDefault="00574EF1">
            <w:pPr>
              <w:jc w:val="both"/>
              <w:rPr>
                <w:sz w:val="28"/>
                <w:szCs w:val="28"/>
              </w:rPr>
            </w:pPr>
            <w:r w:rsidRPr="00574EF1">
              <w:rPr>
                <w:sz w:val="28"/>
                <w:szCs w:val="28"/>
              </w:rPr>
              <w:t>Кількість учасників консультацій, осіб</w:t>
            </w:r>
          </w:p>
        </w:tc>
        <w:tc>
          <w:tcPr>
            <w:tcW w:w="2867" w:type="dxa"/>
            <w:tcBorders>
              <w:top w:val="single" w:sz="4" w:space="0" w:color="000000"/>
              <w:left w:val="single" w:sz="4" w:space="0" w:color="000000"/>
              <w:bottom w:val="single" w:sz="4" w:space="0" w:color="000000"/>
              <w:right w:val="single" w:sz="4" w:space="0" w:color="000000"/>
            </w:tcBorders>
          </w:tcPr>
          <w:p w:rsidR="0054764C" w:rsidRPr="00574EF1" w:rsidRDefault="00574EF1">
            <w:pPr>
              <w:jc w:val="both"/>
              <w:rPr>
                <w:sz w:val="28"/>
                <w:szCs w:val="28"/>
              </w:rPr>
            </w:pPr>
            <w:r w:rsidRPr="00574EF1">
              <w:rPr>
                <w:sz w:val="28"/>
                <w:szCs w:val="28"/>
              </w:rPr>
              <w:t>Основні результати консультацій (опис)</w:t>
            </w:r>
          </w:p>
        </w:tc>
      </w:tr>
      <w:tr w:rsidR="0054764C" w:rsidTr="00574EF1">
        <w:tc>
          <w:tcPr>
            <w:tcW w:w="555" w:type="dxa"/>
            <w:tcBorders>
              <w:top w:val="single" w:sz="4" w:space="0" w:color="000000"/>
              <w:left w:val="single" w:sz="4" w:space="0" w:color="000000"/>
              <w:bottom w:val="single" w:sz="4" w:space="0" w:color="000000"/>
              <w:right w:val="single" w:sz="4" w:space="0" w:color="000000"/>
            </w:tcBorders>
          </w:tcPr>
          <w:p w:rsidR="0054764C" w:rsidRPr="00574EF1" w:rsidRDefault="00574EF1">
            <w:pPr>
              <w:jc w:val="both"/>
              <w:rPr>
                <w:sz w:val="28"/>
                <w:szCs w:val="28"/>
              </w:rPr>
            </w:pPr>
            <w:r w:rsidRPr="00574EF1">
              <w:rPr>
                <w:sz w:val="28"/>
                <w:szCs w:val="28"/>
              </w:rPr>
              <w:t>1.</w:t>
            </w:r>
          </w:p>
        </w:tc>
        <w:tc>
          <w:tcPr>
            <w:tcW w:w="3946" w:type="dxa"/>
            <w:tcBorders>
              <w:top w:val="single" w:sz="4" w:space="0" w:color="000000"/>
              <w:left w:val="single" w:sz="4" w:space="0" w:color="000000"/>
              <w:bottom w:val="single" w:sz="4" w:space="0" w:color="000000"/>
              <w:right w:val="single" w:sz="4" w:space="0" w:color="000000"/>
            </w:tcBorders>
          </w:tcPr>
          <w:p w:rsidR="0054764C" w:rsidRPr="00574EF1" w:rsidRDefault="00574EF1">
            <w:pPr>
              <w:jc w:val="both"/>
              <w:rPr>
                <w:sz w:val="28"/>
                <w:szCs w:val="28"/>
              </w:rPr>
            </w:pPr>
            <w:proofErr w:type="spellStart"/>
            <w:r w:rsidRPr="00574EF1">
              <w:rPr>
                <w:sz w:val="28"/>
                <w:szCs w:val="28"/>
              </w:rPr>
              <w:t>Проєкт</w:t>
            </w:r>
            <w:proofErr w:type="spellEnd"/>
            <w:r w:rsidRPr="00574EF1">
              <w:rPr>
                <w:sz w:val="28"/>
                <w:szCs w:val="28"/>
              </w:rPr>
              <w:t xml:space="preserve"> наказу розміщений на офіційному </w:t>
            </w:r>
            <w:proofErr w:type="spellStart"/>
            <w:r w:rsidRPr="00574EF1">
              <w:rPr>
                <w:sz w:val="28"/>
                <w:szCs w:val="28"/>
              </w:rPr>
              <w:t>вебсайті</w:t>
            </w:r>
            <w:proofErr w:type="spellEnd"/>
            <w:r w:rsidRPr="00574EF1">
              <w:rPr>
                <w:sz w:val="28"/>
                <w:szCs w:val="28"/>
              </w:rPr>
              <w:t xml:space="preserve"> Державної служби України з лікарських засобів та контролю за наркотиками</w:t>
            </w:r>
          </w:p>
        </w:tc>
        <w:tc>
          <w:tcPr>
            <w:tcW w:w="1907" w:type="dxa"/>
            <w:tcBorders>
              <w:top w:val="single" w:sz="4" w:space="0" w:color="000000"/>
              <w:left w:val="single" w:sz="4" w:space="0" w:color="000000"/>
              <w:bottom w:val="single" w:sz="4" w:space="0" w:color="000000"/>
              <w:right w:val="single" w:sz="4" w:space="0" w:color="000000"/>
            </w:tcBorders>
          </w:tcPr>
          <w:p w:rsidR="0054764C" w:rsidRPr="00574EF1" w:rsidRDefault="00574EF1">
            <w:pPr>
              <w:jc w:val="center"/>
              <w:rPr>
                <w:sz w:val="28"/>
                <w:szCs w:val="28"/>
              </w:rPr>
            </w:pPr>
            <w:r w:rsidRPr="00574EF1">
              <w:rPr>
                <w:sz w:val="28"/>
                <w:szCs w:val="28"/>
              </w:rPr>
              <w:t>15</w:t>
            </w:r>
          </w:p>
        </w:tc>
        <w:tc>
          <w:tcPr>
            <w:tcW w:w="2867"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proofErr w:type="spellStart"/>
            <w:r w:rsidRPr="00574EF1">
              <w:rPr>
                <w:sz w:val="28"/>
                <w:szCs w:val="28"/>
              </w:rPr>
              <w:t>Проєкт</w:t>
            </w:r>
            <w:proofErr w:type="spellEnd"/>
            <w:r w:rsidRPr="00574EF1">
              <w:rPr>
                <w:sz w:val="28"/>
                <w:szCs w:val="28"/>
              </w:rPr>
              <w:t xml:space="preserve"> </w:t>
            </w:r>
            <w:proofErr w:type="spellStart"/>
            <w:r w:rsidRPr="00574EF1">
              <w:rPr>
                <w:sz w:val="28"/>
                <w:szCs w:val="28"/>
              </w:rPr>
              <w:t>акта</w:t>
            </w:r>
            <w:proofErr w:type="spellEnd"/>
            <w:r w:rsidRPr="00574EF1">
              <w:rPr>
                <w:sz w:val="28"/>
                <w:szCs w:val="28"/>
              </w:rPr>
              <w:t xml:space="preserve"> підтримано</w:t>
            </w:r>
          </w:p>
        </w:tc>
      </w:tr>
    </w:tbl>
    <w:p w:rsidR="0054764C" w:rsidRDefault="0054764C">
      <w:pPr>
        <w:jc w:val="both"/>
        <w:rPr>
          <w:sz w:val="28"/>
          <w:szCs w:val="28"/>
        </w:rPr>
      </w:pPr>
    </w:p>
    <w:p w:rsidR="0054764C" w:rsidRDefault="00574EF1">
      <w:pPr>
        <w:ind w:firstLine="709"/>
        <w:jc w:val="both"/>
        <w:rPr>
          <w:b/>
          <w:sz w:val="28"/>
          <w:szCs w:val="28"/>
        </w:rPr>
      </w:pPr>
      <w:r>
        <w:rPr>
          <w:b/>
          <w:sz w:val="28"/>
          <w:szCs w:val="28"/>
        </w:rPr>
        <w:t>2. Вимірювання впливу регулювання на суб’єктів малого підприємництва (мікро- та малі):</w:t>
      </w:r>
    </w:p>
    <w:p w:rsidR="0054764C" w:rsidRDefault="00574EF1">
      <w:pPr>
        <w:shd w:val="clear" w:color="auto" w:fill="FFFFFF"/>
        <w:ind w:firstLine="450"/>
        <w:jc w:val="both"/>
        <w:rPr>
          <w:sz w:val="28"/>
          <w:szCs w:val="28"/>
        </w:rPr>
      </w:pPr>
      <w:r>
        <w:rPr>
          <w:sz w:val="28"/>
          <w:szCs w:val="28"/>
        </w:rPr>
        <w:t xml:space="preserve">кількість суб’єктів малого підприємництва, на яких поширюється регулювання: 6765 (одиниць), у тому числі малого підприємництва 2297 (одиниць) та </w:t>
      </w:r>
      <w:proofErr w:type="spellStart"/>
      <w:r>
        <w:rPr>
          <w:sz w:val="28"/>
          <w:szCs w:val="28"/>
        </w:rPr>
        <w:t>мікропідприємництва</w:t>
      </w:r>
      <w:proofErr w:type="spellEnd"/>
      <w:r>
        <w:rPr>
          <w:sz w:val="28"/>
          <w:szCs w:val="28"/>
        </w:rPr>
        <w:t xml:space="preserve"> 3718 (одиниць);</w:t>
      </w:r>
    </w:p>
    <w:p w:rsidR="0054764C" w:rsidRDefault="00574EF1">
      <w:pPr>
        <w:shd w:val="clear" w:color="auto" w:fill="FFFFFF"/>
        <w:ind w:firstLine="450"/>
        <w:jc w:val="both"/>
        <w:rPr>
          <w:sz w:val="28"/>
          <w:szCs w:val="28"/>
        </w:rPr>
      </w:pPr>
      <w:r>
        <w:rPr>
          <w:sz w:val="28"/>
          <w:szCs w:val="28"/>
        </w:rPr>
        <w:t>питома вага суб’єктів малого підприємництва у загальній кількості суб’єктів господарювання, на яких проблема справляє вплив 89 (відсотків).</w:t>
      </w:r>
    </w:p>
    <w:p w:rsidR="0054764C" w:rsidRDefault="0054764C">
      <w:pPr>
        <w:shd w:val="clear" w:color="auto" w:fill="FFFFFF"/>
        <w:ind w:firstLine="450"/>
        <w:jc w:val="both"/>
        <w:rPr>
          <w:sz w:val="28"/>
          <w:szCs w:val="28"/>
        </w:rPr>
      </w:pPr>
    </w:p>
    <w:p w:rsidR="0054764C" w:rsidRDefault="00574EF1">
      <w:pPr>
        <w:ind w:firstLine="709"/>
        <w:jc w:val="both"/>
        <w:rPr>
          <w:b/>
          <w:sz w:val="28"/>
          <w:szCs w:val="28"/>
        </w:rPr>
      </w:pPr>
      <w:r>
        <w:rPr>
          <w:b/>
          <w:sz w:val="28"/>
          <w:szCs w:val="28"/>
        </w:rPr>
        <w:t>3. Розрахунок витрат суб’єктів малого підприємництва, що виникають на виконання вимог регулювання</w:t>
      </w:r>
    </w:p>
    <w:p w:rsidR="0029219C" w:rsidRDefault="0029219C">
      <w:pPr>
        <w:ind w:firstLine="709"/>
        <w:jc w:val="both"/>
        <w:rPr>
          <w:b/>
          <w:sz w:val="28"/>
          <w:szCs w:val="28"/>
        </w:rPr>
      </w:pPr>
      <w:bookmarkStart w:id="0" w:name="_GoBack"/>
      <w:bookmarkEnd w:id="0"/>
    </w:p>
    <w:tbl>
      <w:tblPr>
        <w:tblStyle w:val="a6"/>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919"/>
        <w:gridCol w:w="2186"/>
        <w:gridCol w:w="1796"/>
        <w:gridCol w:w="1769"/>
      </w:tblGrid>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 з/п</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Найменування оцінки</w:t>
            </w: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У перший рік (стартовий рік впровадження регулювання)</w:t>
            </w:r>
          </w:p>
          <w:p w:rsidR="0054764C" w:rsidRDefault="0054764C">
            <w:pPr>
              <w:jc w:val="both"/>
              <w:rPr>
                <w:sz w:val="28"/>
                <w:szCs w:val="28"/>
              </w:rPr>
            </w:pP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Періодичні (за наступний рік)</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Витрати за п’ять років</w:t>
            </w:r>
          </w:p>
        </w:tc>
      </w:tr>
      <w:tr w:rsidR="0054764C">
        <w:tc>
          <w:tcPr>
            <w:tcW w:w="9236" w:type="dxa"/>
            <w:gridSpan w:val="5"/>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lastRenderedPageBreak/>
              <w:t>Оцінка «прямих» витрат суб’єктів підприємництва на виконання регулювання</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1.</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Придбання необхідного обладнання (пристроїв, машин, механізмів)</w:t>
            </w:r>
          </w:p>
          <w:p w:rsidR="0054764C" w:rsidRDefault="0054764C">
            <w:pPr>
              <w:jc w:val="both"/>
              <w:rPr>
                <w:sz w:val="28"/>
                <w:szCs w:val="28"/>
              </w:rPr>
            </w:pP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2.</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Процедури повірки та/або постановки на відповідний облік у визначеному органі державної влади чи місцевого самоврядування</w:t>
            </w:r>
          </w:p>
          <w:p w:rsidR="0054764C" w:rsidRDefault="0054764C">
            <w:pPr>
              <w:jc w:val="both"/>
              <w:rPr>
                <w:sz w:val="28"/>
                <w:szCs w:val="28"/>
              </w:rPr>
            </w:pP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3.</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Процедури експлуатації обладнання (експлуатаційні витрати – витратні матеріали)</w:t>
            </w:r>
          </w:p>
          <w:p w:rsidR="0054764C" w:rsidRDefault="0054764C">
            <w:pPr>
              <w:jc w:val="both"/>
              <w:rPr>
                <w:sz w:val="28"/>
                <w:szCs w:val="28"/>
              </w:rPr>
            </w:pP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4.</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Процедури обслуговування обладнання (технічне обслуговування)</w:t>
            </w:r>
          </w:p>
          <w:p w:rsidR="0054764C" w:rsidRDefault="0054764C">
            <w:pPr>
              <w:jc w:val="both"/>
              <w:rPr>
                <w:sz w:val="28"/>
                <w:szCs w:val="28"/>
              </w:rPr>
            </w:pP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5.</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Інші процедури (уточнити)</w:t>
            </w: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6.</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Разом, гривень</w:t>
            </w:r>
          </w:p>
          <w:p w:rsidR="0054764C" w:rsidRDefault="0054764C">
            <w:pPr>
              <w:jc w:val="both"/>
              <w:rPr>
                <w:sz w:val="28"/>
                <w:szCs w:val="28"/>
              </w:rPr>
            </w:pP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7.</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Кількість суб’єктів господарювання, що повинні виконувати вимоги регулювання, одиниць</w:t>
            </w:r>
          </w:p>
          <w:p w:rsidR="0054764C" w:rsidRDefault="0054764C">
            <w:pPr>
              <w:jc w:val="both"/>
              <w:rPr>
                <w:sz w:val="28"/>
                <w:szCs w:val="28"/>
              </w:rPr>
            </w:pPr>
          </w:p>
        </w:tc>
        <w:tc>
          <w:tcPr>
            <w:tcW w:w="5751" w:type="dxa"/>
            <w:gridSpan w:val="3"/>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color w:val="333333"/>
                <w:sz w:val="28"/>
                <w:szCs w:val="28"/>
              </w:rPr>
              <w:t>6 015</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8.</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Сумарно, гривень</w:t>
            </w:r>
          </w:p>
          <w:p w:rsidR="0054764C" w:rsidRDefault="0054764C">
            <w:pPr>
              <w:jc w:val="both"/>
              <w:rPr>
                <w:sz w:val="28"/>
                <w:szCs w:val="28"/>
              </w:rPr>
            </w:pP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9236" w:type="dxa"/>
            <w:gridSpan w:val="5"/>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Оцінка вартості адміністративних процедур суб’єктів малого підприємництва щодо виконання регулювання та звітування</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9.</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 xml:space="preserve">Процедури отримання первинної інформації </w:t>
            </w:r>
            <w:r>
              <w:rPr>
                <w:sz w:val="28"/>
                <w:szCs w:val="28"/>
              </w:rPr>
              <w:lastRenderedPageBreak/>
              <w:t>про вимоги регулювання</w:t>
            </w:r>
          </w:p>
          <w:p w:rsidR="0054764C" w:rsidRDefault="00574EF1">
            <w:pPr>
              <w:jc w:val="both"/>
              <w:rPr>
                <w:i/>
                <w:sz w:val="28"/>
                <w:szCs w:val="28"/>
              </w:rPr>
            </w:pPr>
            <w:r>
              <w:rPr>
                <w:i/>
                <w:sz w:val="28"/>
                <w:szCs w:val="28"/>
              </w:rPr>
              <w:t>Формула:</w:t>
            </w:r>
          </w:p>
          <w:p w:rsidR="0054764C" w:rsidRDefault="00574EF1">
            <w:pPr>
              <w:jc w:val="both"/>
              <w:rPr>
                <w:sz w:val="28"/>
                <w:szCs w:val="28"/>
              </w:rPr>
            </w:pPr>
            <w:r>
              <w:rPr>
                <w:sz w:val="28"/>
                <w:szCs w:val="28"/>
              </w:rPr>
              <w:t>витрати часу на отримання (ознайомлення) з інформацією про регулювання Х вартість часу працівника на ознайомлення з інформацією та організацією виконання вимог регулювання (заробітна плата) Х оціночна кількість форм</w:t>
            </w:r>
          </w:p>
          <w:p w:rsidR="0054764C" w:rsidRDefault="00574EF1">
            <w:pPr>
              <w:jc w:val="both"/>
              <w:rPr>
                <w:sz w:val="28"/>
                <w:szCs w:val="28"/>
              </w:rPr>
            </w:pPr>
            <w:r>
              <w:rPr>
                <w:sz w:val="28"/>
                <w:szCs w:val="28"/>
              </w:rPr>
              <w:t>за 1 годину * 40,46 грн/день * 1 працівник (заробітна плата) Х оціночна кількість форм</w:t>
            </w: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rPr>
                <w:sz w:val="28"/>
                <w:szCs w:val="28"/>
              </w:rPr>
            </w:pPr>
            <w:r>
              <w:rPr>
                <w:sz w:val="28"/>
                <w:szCs w:val="28"/>
              </w:rPr>
              <w:lastRenderedPageBreak/>
              <w:t xml:space="preserve">1 год. (час, який витрачається суб’єктами </w:t>
            </w:r>
            <w:r>
              <w:rPr>
                <w:sz w:val="28"/>
                <w:szCs w:val="28"/>
              </w:rPr>
              <w:lastRenderedPageBreak/>
              <w:t>господарювання на пошук нормативно-правового акту в мережі  Інтернет та ознайомлення з ним) = 48,00 грн.</w:t>
            </w:r>
          </w:p>
          <w:p w:rsidR="0054764C" w:rsidRDefault="0054764C">
            <w:pPr>
              <w:jc w:val="both"/>
              <w:rPr>
                <w:sz w:val="28"/>
                <w:szCs w:val="28"/>
              </w:rPr>
            </w:pPr>
          </w:p>
          <w:p w:rsidR="0054764C" w:rsidRDefault="0054764C">
            <w:pPr>
              <w:jc w:val="both"/>
              <w:rPr>
                <w:sz w:val="28"/>
                <w:szCs w:val="28"/>
              </w:rPr>
            </w:pPr>
          </w:p>
          <w:p w:rsidR="0054764C" w:rsidRDefault="0054764C">
            <w:pPr>
              <w:jc w:val="both"/>
              <w:rPr>
                <w:sz w:val="28"/>
                <w:szCs w:val="28"/>
              </w:rPr>
            </w:pP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lastRenderedPageBreak/>
              <w:t>0,00</w:t>
            </w:r>
          </w:p>
          <w:p w:rsidR="0054764C" w:rsidRDefault="00574EF1">
            <w:pPr>
              <w:jc w:val="both"/>
              <w:rPr>
                <w:sz w:val="28"/>
                <w:szCs w:val="28"/>
              </w:rPr>
            </w:pPr>
            <w:r>
              <w:rPr>
                <w:sz w:val="28"/>
                <w:szCs w:val="28"/>
              </w:rPr>
              <w:t xml:space="preserve">(припущено, що суб’єкт </w:t>
            </w:r>
            <w:r>
              <w:rPr>
                <w:sz w:val="28"/>
                <w:szCs w:val="28"/>
              </w:rPr>
              <w:lastRenderedPageBreak/>
              <w:t>повинен виконувати вимоги регулювання лише в перший рік)</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lastRenderedPageBreak/>
              <w:t>48,00 грн.</w:t>
            </w:r>
          </w:p>
          <w:p w:rsidR="0054764C" w:rsidRDefault="0054764C">
            <w:pPr>
              <w:jc w:val="both"/>
              <w:rPr>
                <w:sz w:val="28"/>
                <w:szCs w:val="28"/>
              </w:rPr>
            </w:pP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10.</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Процедури організації виконання вимог регулювання</w:t>
            </w:r>
          </w:p>
          <w:p w:rsidR="0054764C" w:rsidRDefault="00574EF1">
            <w:pPr>
              <w:jc w:val="both"/>
              <w:rPr>
                <w:i/>
                <w:sz w:val="28"/>
                <w:szCs w:val="28"/>
              </w:rPr>
            </w:pPr>
            <w:r>
              <w:rPr>
                <w:i/>
                <w:sz w:val="28"/>
                <w:szCs w:val="28"/>
              </w:rPr>
              <w:t>Отримання одного висновку експерта з технічного обстеження щодо мінімальної відстані між аптечними закладами відповідно до державних будівельних норм, правил і стандартів.</w:t>
            </w:r>
          </w:p>
          <w:p w:rsidR="0054764C" w:rsidRDefault="00574EF1">
            <w:pPr>
              <w:jc w:val="both"/>
              <w:rPr>
                <w:i/>
                <w:sz w:val="28"/>
                <w:szCs w:val="28"/>
              </w:rPr>
            </w:pPr>
            <w:r>
              <w:rPr>
                <w:i/>
                <w:sz w:val="28"/>
                <w:szCs w:val="28"/>
              </w:rPr>
              <w:t>Формула:</w:t>
            </w:r>
          </w:p>
          <w:p w:rsidR="0054764C" w:rsidRDefault="00574EF1">
            <w:pPr>
              <w:jc w:val="both"/>
              <w:rPr>
                <w:sz w:val="28"/>
                <w:szCs w:val="28"/>
              </w:rPr>
            </w:pPr>
            <w:r>
              <w:rPr>
                <w:sz w:val="28"/>
                <w:szCs w:val="28"/>
              </w:rPr>
              <w:t xml:space="preserve">витрати часу на розроблення, впровадження рекомендацій та організацію виконання вимог регулювання Х вартість часу суб’єкта </w:t>
            </w:r>
            <w:r>
              <w:rPr>
                <w:sz w:val="28"/>
                <w:szCs w:val="28"/>
              </w:rPr>
              <w:lastRenderedPageBreak/>
              <w:t>малого підприємництва (заробітна плата) Х оціночна кількість внутрішніх процедур</w:t>
            </w:r>
          </w:p>
          <w:p w:rsidR="0054764C" w:rsidRDefault="0054764C">
            <w:pPr>
              <w:jc w:val="both"/>
              <w:rPr>
                <w:i/>
                <w:sz w:val="28"/>
                <w:szCs w:val="28"/>
              </w:rPr>
            </w:pP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lastRenderedPageBreak/>
              <w:t>В</w:t>
            </w:r>
            <w:r>
              <w:rPr>
                <w:i/>
                <w:sz w:val="28"/>
                <w:szCs w:val="28"/>
              </w:rPr>
              <w:t>ід 10000 грн. до 17000 грн. в залежності від категорії складності об’єкта, де розміщується аптечний заклад.</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0,00</w:t>
            </w:r>
          </w:p>
          <w:p w:rsidR="0054764C" w:rsidRDefault="00574EF1">
            <w:pPr>
              <w:jc w:val="both"/>
              <w:rPr>
                <w:sz w:val="28"/>
                <w:szCs w:val="28"/>
              </w:rPr>
            </w:pPr>
            <w:r>
              <w:rPr>
                <w:sz w:val="28"/>
                <w:szCs w:val="28"/>
              </w:rPr>
              <w:t>(припущено, що суб’єкт повинен виконувати вимоги регулювання лише в перший рік)</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0,00</w:t>
            </w:r>
          </w:p>
          <w:p w:rsidR="0054764C" w:rsidRDefault="00574EF1">
            <w:pPr>
              <w:jc w:val="both"/>
              <w:rPr>
                <w:sz w:val="28"/>
                <w:szCs w:val="28"/>
              </w:rPr>
            </w:pPr>
            <w:r>
              <w:rPr>
                <w:sz w:val="28"/>
                <w:szCs w:val="28"/>
              </w:rPr>
              <w:t>(припущено, що суб’єкт повинен виконувати вимоги регулювання лише в перший рік)</w:t>
            </w:r>
          </w:p>
          <w:p w:rsidR="0054764C" w:rsidRDefault="0054764C">
            <w:pPr>
              <w:jc w:val="both"/>
              <w:rPr>
                <w:sz w:val="28"/>
                <w:szCs w:val="28"/>
              </w:rPr>
            </w:pP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11.</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Процедури офіційного звітування</w:t>
            </w:r>
          </w:p>
          <w:p w:rsidR="0054764C" w:rsidRDefault="0054764C">
            <w:pPr>
              <w:jc w:val="both"/>
              <w:rPr>
                <w:sz w:val="28"/>
                <w:szCs w:val="28"/>
              </w:rPr>
            </w:pP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12.</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Процедури щодо забезпечення процесу перевірок</w:t>
            </w: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13.</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Інші процедури (відсутні)</w:t>
            </w: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14.</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Разом, гривень</w:t>
            </w: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Від 10048 грн. до 17048 грн. в залежності від категорії складності об’єкта, де розміщується аптечний заклад.</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 xml:space="preserve">Х </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Х</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15.</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Кількість суб’єктів малого підприємництва, що повинні виконати вимоги регулювання, одиниць</w:t>
            </w:r>
          </w:p>
          <w:p w:rsidR="0054764C" w:rsidRDefault="0054764C">
            <w:pPr>
              <w:jc w:val="both"/>
              <w:rPr>
                <w:sz w:val="28"/>
                <w:szCs w:val="28"/>
              </w:rPr>
            </w:pPr>
          </w:p>
        </w:tc>
        <w:tc>
          <w:tcPr>
            <w:tcW w:w="5751" w:type="dxa"/>
            <w:gridSpan w:val="3"/>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color w:val="333333"/>
                <w:sz w:val="28"/>
                <w:szCs w:val="28"/>
              </w:rPr>
              <w:t>6 015</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16.</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Сумарно, гривень</w:t>
            </w: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 xml:space="preserve">У разі відкриття нового аптечного закладу витрати на отримання одного висновку експерта з технічного обстеження щодо мінімальної відстані між аптечними закладами </w:t>
            </w:r>
            <w:r>
              <w:rPr>
                <w:sz w:val="28"/>
                <w:szCs w:val="28"/>
              </w:rPr>
              <w:lastRenderedPageBreak/>
              <w:t>відповідно до державних будівельних норм, правил і стандартів: від 10048 грн. до 17048 грн. в залежності від категорії складності об’єкта, де розміщується аптечний заклад.</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lastRenderedPageBreak/>
              <w:t>Х</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Х</w:t>
            </w:r>
          </w:p>
          <w:p w:rsidR="0054764C" w:rsidRDefault="0054764C">
            <w:pPr>
              <w:jc w:val="both"/>
              <w:rPr>
                <w:sz w:val="28"/>
                <w:szCs w:val="28"/>
              </w:rPr>
            </w:pPr>
          </w:p>
        </w:tc>
      </w:tr>
    </w:tbl>
    <w:p w:rsidR="0054764C" w:rsidRDefault="0054764C">
      <w:pPr>
        <w:shd w:val="clear" w:color="auto" w:fill="FFFFFF"/>
        <w:jc w:val="center"/>
        <w:rPr>
          <w:b/>
          <w:sz w:val="28"/>
          <w:szCs w:val="28"/>
        </w:rPr>
      </w:pPr>
    </w:p>
    <w:p w:rsidR="0054764C" w:rsidRDefault="00574EF1">
      <w:pPr>
        <w:shd w:val="clear" w:color="auto" w:fill="FFFFFF"/>
        <w:jc w:val="center"/>
        <w:rPr>
          <w:b/>
          <w:sz w:val="28"/>
          <w:szCs w:val="28"/>
        </w:rPr>
      </w:pPr>
      <w:r>
        <w:rPr>
          <w:b/>
          <w:sz w:val="28"/>
          <w:szCs w:val="28"/>
        </w:rPr>
        <w:t>Бюджетні витрати на адміністрування регулювання суб’єктів малого підприємництва</w:t>
      </w:r>
    </w:p>
    <w:p w:rsidR="0054764C" w:rsidRDefault="00574EF1">
      <w:pPr>
        <w:shd w:val="clear" w:color="auto" w:fill="FFFFFF"/>
        <w:ind w:firstLine="450"/>
        <w:jc w:val="both"/>
        <w:rPr>
          <w:sz w:val="28"/>
          <w:szCs w:val="28"/>
        </w:rPr>
      </w:pPr>
      <w:r>
        <w:rPr>
          <w:sz w:val="28"/>
          <w:szCs w:val="28"/>
        </w:rPr>
        <w:t>Розрахунок бюджетних витрат на адміністрування регулювання для відповідного органу державної влади чи органу місцевого самоврядування, що залучений до процесу регулювання не здійснювався, оскільки додаткових витрат не передбачається.</w:t>
      </w:r>
    </w:p>
    <w:tbl>
      <w:tblPr>
        <w:tblStyle w:val="a7"/>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8"/>
        <w:gridCol w:w="1109"/>
        <w:gridCol w:w="1450"/>
        <w:gridCol w:w="1257"/>
        <w:gridCol w:w="2059"/>
        <w:gridCol w:w="1701"/>
      </w:tblGrid>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Pr>
                <w:sz w:val="28"/>
                <w:szCs w:val="28"/>
              </w:rPr>
              <w:t>підприємництв</w:t>
            </w:r>
            <w:proofErr w:type="spellEnd"/>
            <w:r>
              <w:rPr>
                <w:sz w:val="28"/>
                <w:szCs w:val="28"/>
              </w:rPr>
              <w:t>)</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Планові витрати часу на процедуру</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Вартість часу співробітника органу державної влади відповідної категорії (заробітна плата)</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Оцінка кількості процедур за рік, що припадають на одного суб’єкта</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Оцінка кількості  суб’єктів, що підпадають під дію процедури регулювання</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Витрати на адміністрування регулювання* (за рік), гривень</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i/>
                <w:sz w:val="28"/>
                <w:szCs w:val="28"/>
              </w:rPr>
            </w:pPr>
            <w:r>
              <w:rPr>
                <w:sz w:val="28"/>
                <w:szCs w:val="28"/>
              </w:rPr>
              <w:t>1. Облік суб’єкта господарюван</w:t>
            </w:r>
            <w:r>
              <w:rPr>
                <w:sz w:val="28"/>
                <w:szCs w:val="28"/>
              </w:rPr>
              <w:lastRenderedPageBreak/>
              <w:t>ня, що перебуває у сфері регулювання</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lastRenderedPageBreak/>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2. Поточний контроль за суб’єктом господарювання, що перебуває у сфері регулювання, у тому числі:</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камеральні</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виїзні</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 xml:space="preserve">3. Підготовка, затвердження та опрацювання одного окремого </w:t>
            </w:r>
            <w:proofErr w:type="spellStart"/>
            <w:r>
              <w:rPr>
                <w:sz w:val="28"/>
                <w:szCs w:val="28"/>
              </w:rPr>
              <w:t>акта</w:t>
            </w:r>
            <w:proofErr w:type="spellEnd"/>
            <w:r>
              <w:rPr>
                <w:sz w:val="28"/>
                <w:szCs w:val="28"/>
              </w:rPr>
              <w:t xml:space="preserve"> про порушення вимог регулювання</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4. Реалізація одного окремого рішення щодо порушення вимог регулювання</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5.Оскарження одного окремого рішення суб’єктами господарювання</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6. Підготовка звітності за результатами регулювання</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lastRenderedPageBreak/>
              <w:t>7. Інші адміністративні процедури (уточнити):</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Разом за рік</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Сумарно за п’ять років</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bl>
    <w:p w:rsidR="0054764C" w:rsidRDefault="0054764C">
      <w:pPr>
        <w:shd w:val="clear" w:color="auto" w:fill="FFFFFF"/>
        <w:jc w:val="both"/>
        <w:rPr>
          <w:sz w:val="28"/>
          <w:szCs w:val="28"/>
        </w:rPr>
      </w:pPr>
    </w:p>
    <w:p w:rsidR="0054764C" w:rsidRDefault="00574EF1">
      <w:pPr>
        <w:shd w:val="clear" w:color="auto" w:fill="FFFFFF"/>
        <w:ind w:firstLine="284"/>
        <w:jc w:val="both"/>
        <w:rPr>
          <w:sz w:val="28"/>
          <w:szCs w:val="28"/>
        </w:rPr>
      </w:pPr>
      <w:r>
        <w:rPr>
          <w:sz w:val="28"/>
          <w:szCs w:val="28"/>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54764C" w:rsidRDefault="00574EF1">
      <w:pPr>
        <w:shd w:val="clear" w:color="auto" w:fill="FFFFFF"/>
        <w:ind w:firstLine="450"/>
        <w:jc w:val="both"/>
        <w:rPr>
          <w:sz w:val="28"/>
          <w:szCs w:val="28"/>
        </w:rPr>
      </w:pPr>
      <w:r>
        <w:rPr>
          <w:sz w:val="28"/>
          <w:szCs w:val="28"/>
        </w:rPr>
        <w:t>Державне регулювання не передбачає утворення нового державного органу (або нового структурного підрозділу діючого органу).</w:t>
      </w:r>
    </w:p>
    <w:p w:rsidR="0054764C" w:rsidRDefault="0054764C">
      <w:pPr>
        <w:shd w:val="clear" w:color="auto" w:fill="FFFFFF"/>
        <w:ind w:firstLine="450"/>
        <w:jc w:val="both"/>
        <w:rPr>
          <w:sz w:val="28"/>
          <w:szCs w:val="28"/>
        </w:rPr>
      </w:pPr>
    </w:p>
    <w:p w:rsidR="0054764C" w:rsidRDefault="00574EF1">
      <w:pPr>
        <w:shd w:val="clear" w:color="auto" w:fill="FFFFFF"/>
        <w:ind w:firstLine="450"/>
        <w:jc w:val="both"/>
        <w:rPr>
          <w:b/>
          <w:sz w:val="28"/>
          <w:szCs w:val="28"/>
        </w:rPr>
      </w:pPr>
      <w:r>
        <w:rPr>
          <w:b/>
          <w:sz w:val="28"/>
          <w:szCs w:val="28"/>
        </w:rPr>
        <w:t>4. Розрахунок сумарних витрат суб’єктів малого підприємництва, що виникають на виконання вимог регулювання</w:t>
      </w:r>
    </w:p>
    <w:tbl>
      <w:tblPr>
        <w:tblStyle w:val="a8"/>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4"/>
        <w:gridCol w:w="3802"/>
        <w:gridCol w:w="2249"/>
        <w:gridCol w:w="2149"/>
      </w:tblGrid>
      <w:tr w:rsidR="0054764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Порядковий номер</w:t>
            </w:r>
          </w:p>
        </w:tc>
        <w:tc>
          <w:tcPr>
            <w:tcW w:w="38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Показник</w:t>
            </w:r>
          </w:p>
        </w:tc>
        <w:tc>
          <w:tcPr>
            <w:tcW w:w="2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Перший рік регулювання (стартовий)</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За п’ять років</w:t>
            </w:r>
          </w:p>
        </w:tc>
      </w:tr>
      <w:tr w:rsidR="0054764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1</w:t>
            </w:r>
          </w:p>
        </w:tc>
        <w:tc>
          <w:tcPr>
            <w:tcW w:w="38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Оцінка “прямих” витрат суб’єктів малого підприємництва на виконання регулювання</w:t>
            </w:r>
          </w:p>
        </w:tc>
        <w:tc>
          <w:tcPr>
            <w:tcW w:w="2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rPr>
                <w:sz w:val="28"/>
                <w:szCs w:val="28"/>
              </w:rPr>
            </w:pPr>
            <w:r>
              <w:rPr>
                <w:sz w:val="28"/>
                <w:szCs w:val="28"/>
              </w:rPr>
              <w:t>0,00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rPr>
                <w:sz w:val="28"/>
                <w:szCs w:val="28"/>
              </w:rPr>
            </w:pPr>
            <w:r>
              <w:rPr>
                <w:sz w:val="28"/>
                <w:szCs w:val="28"/>
              </w:rPr>
              <w:t>0,00</w:t>
            </w:r>
          </w:p>
        </w:tc>
      </w:tr>
      <w:tr w:rsidR="0054764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2</w:t>
            </w:r>
          </w:p>
        </w:tc>
        <w:tc>
          <w:tcPr>
            <w:tcW w:w="38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Оцінка вартості адміністративних процедур для суб’єктів малого підприємництва щодо виконання регулювання та звітування</w:t>
            </w:r>
          </w:p>
        </w:tc>
        <w:tc>
          <w:tcPr>
            <w:tcW w:w="2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 xml:space="preserve">У разі відкриття нового аптечного закладу витрати на отримання одного висновку експерта з технічного обстеження щодо мінімальної відстані між аптечними закладами відповідно до державних будівельних норм, правил і стандартів: від 10048 грн. до 17048 грн. в залежності від </w:t>
            </w:r>
            <w:r>
              <w:rPr>
                <w:sz w:val="28"/>
                <w:szCs w:val="28"/>
              </w:rPr>
              <w:lastRenderedPageBreak/>
              <w:t>категорії складності об’єкта, де розміщується аптечний заклад.</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lastRenderedPageBreak/>
              <w:t>0,00*</w:t>
            </w:r>
          </w:p>
          <w:p w:rsidR="0054764C" w:rsidRDefault="00574EF1">
            <w:pPr>
              <w:rPr>
                <w:sz w:val="28"/>
                <w:szCs w:val="28"/>
              </w:rPr>
            </w:pPr>
            <w:r>
              <w:rPr>
                <w:sz w:val="28"/>
                <w:szCs w:val="28"/>
              </w:rPr>
              <w:t>(суб’єкт</w:t>
            </w:r>
          </w:p>
          <w:p w:rsidR="0054764C" w:rsidRDefault="00574EF1">
            <w:pPr>
              <w:rPr>
                <w:sz w:val="28"/>
                <w:szCs w:val="28"/>
              </w:rPr>
            </w:pPr>
            <w:r>
              <w:rPr>
                <w:sz w:val="28"/>
                <w:szCs w:val="28"/>
              </w:rPr>
              <w:t>повинен виконувати</w:t>
            </w:r>
          </w:p>
          <w:p w:rsidR="0054764C" w:rsidRDefault="00574EF1">
            <w:pPr>
              <w:rPr>
                <w:sz w:val="28"/>
                <w:szCs w:val="28"/>
              </w:rPr>
            </w:pPr>
            <w:r>
              <w:rPr>
                <w:sz w:val="28"/>
                <w:szCs w:val="28"/>
              </w:rPr>
              <w:t>вимоги</w:t>
            </w:r>
          </w:p>
          <w:p w:rsidR="0054764C" w:rsidRDefault="00574EF1">
            <w:pPr>
              <w:rPr>
                <w:sz w:val="28"/>
                <w:szCs w:val="28"/>
              </w:rPr>
            </w:pPr>
            <w:r>
              <w:rPr>
                <w:sz w:val="28"/>
                <w:szCs w:val="28"/>
              </w:rPr>
              <w:t>регулювання лише в перший рік)</w:t>
            </w:r>
          </w:p>
        </w:tc>
      </w:tr>
      <w:tr w:rsidR="0054764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3</w:t>
            </w:r>
          </w:p>
        </w:tc>
        <w:tc>
          <w:tcPr>
            <w:tcW w:w="38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bookmarkStart w:id="1" w:name="_gjdgxs" w:colFirst="0" w:colLast="0"/>
            <w:bookmarkEnd w:id="1"/>
            <w:r>
              <w:rPr>
                <w:sz w:val="28"/>
                <w:szCs w:val="28"/>
              </w:rPr>
              <w:t>Сумарні витрати малого підприємництва на виконання запланованого  регулювання</w:t>
            </w:r>
          </w:p>
        </w:tc>
        <w:tc>
          <w:tcPr>
            <w:tcW w:w="2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tabs>
                <w:tab w:val="center" w:pos="1195"/>
              </w:tabs>
              <w:rPr>
                <w:sz w:val="28"/>
                <w:szCs w:val="28"/>
              </w:rPr>
            </w:pPr>
            <w:r>
              <w:rPr>
                <w:sz w:val="28"/>
                <w:szCs w:val="28"/>
              </w:rPr>
              <w:t>У разі відкриття нового аптечного закладу витрати на отримання одного висновку експерта з технічного обстеження щодо мінімальної відстані між аптечними закладами відповідно до державних будівельних норм, правил і стандартів: від 10048 грн. до 17048 грн. в залежності від категорії складності об’єкта, де розміщується аптечний заклад.</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0,00</w:t>
            </w:r>
          </w:p>
          <w:p w:rsidR="0054764C" w:rsidRDefault="00574EF1">
            <w:pPr>
              <w:rPr>
                <w:sz w:val="28"/>
                <w:szCs w:val="28"/>
              </w:rPr>
            </w:pPr>
            <w:r>
              <w:rPr>
                <w:sz w:val="28"/>
                <w:szCs w:val="28"/>
              </w:rPr>
              <w:t>(суб’єкт</w:t>
            </w:r>
          </w:p>
          <w:p w:rsidR="0054764C" w:rsidRDefault="00574EF1">
            <w:pPr>
              <w:rPr>
                <w:sz w:val="28"/>
                <w:szCs w:val="28"/>
              </w:rPr>
            </w:pPr>
            <w:r>
              <w:rPr>
                <w:sz w:val="28"/>
                <w:szCs w:val="28"/>
              </w:rPr>
              <w:t>повинен виконувати</w:t>
            </w:r>
          </w:p>
          <w:p w:rsidR="0054764C" w:rsidRDefault="00574EF1">
            <w:pPr>
              <w:rPr>
                <w:sz w:val="28"/>
                <w:szCs w:val="28"/>
              </w:rPr>
            </w:pPr>
            <w:r>
              <w:rPr>
                <w:sz w:val="28"/>
                <w:szCs w:val="28"/>
              </w:rPr>
              <w:t>вимоги</w:t>
            </w:r>
          </w:p>
          <w:p w:rsidR="0054764C" w:rsidRDefault="00574EF1">
            <w:pPr>
              <w:rPr>
                <w:sz w:val="28"/>
                <w:szCs w:val="28"/>
              </w:rPr>
            </w:pPr>
            <w:r>
              <w:rPr>
                <w:sz w:val="28"/>
                <w:szCs w:val="28"/>
              </w:rPr>
              <w:t>регулювання лише в перший рік)</w:t>
            </w:r>
          </w:p>
        </w:tc>
      </w:tr>
      <w:tr w:rsidR="0054764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4</w:t>
            </w:r>
          </w:p>
        </w:tc>
        <w:tc>
          <w:tcPr>
            <w:tcW w:w="38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Бюджетні витрати  на адміністрування регулювання суб’єктів малого підприємництва</w:t>
            </w:r>
          </w:p>
        </w:tc>
        <w:tc>
          <w:tcPr>
            <w:tcW w:w="2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rPr>
                <w:sz w:val="28"/>
                <w:szCs w:val="28"/>
              </w:rPr>
            </w:pPr>
            <w:r>
              <w:rPr>
                <w:sz w:val="28"/>
                <w:szCs w:val="28"/>
              </w:rPr>
              <w:t>-</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rPr>
                <w:sz w:val="28"/>
                <w:szCs w:val="28"/>
              </w:rPr>
            </w:pPr>
            <w:r>
              <w:rPr>
                <w:sz w:val="28"/>
                <w:szCs w:val="28"/>
              </w:rPr>
              <w:t>-</w:t>
            </w:r>
          </w:p>
        </w:tc>
      </w:tr>
      <w:tr w:rsidR="0054764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5</w:t>
            </w:r>
          </w:p>
        </w:tc>
        <w:tc>
          <w:tcPr>
            <w:tcW w:w="38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Сумарні витрати на виконання запланованого регулювання</w:t>
            </w:r>
          </w:p>
        </w:tc>
        <w:tc>
          <w:tcPr>
            <w:tcW w:w="2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 xml:space="preserve">У разі відкриття нового аптечного закладу витрати на отримання одного висновку експерта з технічного обстеження щодо мінімальної відстані між аптечними </w:t>
            </w:r>
            <w:r>
              <w:rPr>
                <w:sz w:val="28"/>
                <w:szCs w:val="28"/>
              </w:rPr>
              <w:lastRenderedPageBreak/>
              <w:t>закладами відповідно до державних будівельних норм, правил і стандартів: від 10048 грн. до 17048 грн. в залежності від категорії складності об’єкта, де розміщується аптечний заклад.</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rPr>
                <w:sz w:val="28"/>
                <w:szCs w:val="28"/>
              </w:rPr>
            </w:pPr>
            <w:r>
              <w:rPr>
                <w:sz w:val="28"/>
                <w:szCs w:val="28"/>
              </w:rPr>
              <w:lastRenderedPageBreak/>
              <w:t>-</w:t>
            </w:r>
          </w:p>
        </w:tc>
      </w:tr>
    </w:tbl>
    <w:p w:rsidR="0054764C" w:rsidRDefault="0054764C">
      <w:pPr>
        <w:shd w:val="clear" w:color="auto" w:fill="FFFFFF"/>
        <w:ind w:firstLine="450"/>
        <w:jc w:val="both"/>
        <w:rPr>
          <w:b/>
          <w:sz w:val="28"/>
          <w:szCs w:val="28"/>
        </w:rPr>
      </w:pPr>
    </w:p>
    <w:p w:rsidR="0054764C" w:rsidRDefault="00574EF1">
      <w:pPr>
        <w:shd w:val="clear" w:color="auto" w:fill="FFFFFF"/>
        <w:ind w:firstLine="450"/>
        <w:jc w:val="both"/>
        <w:rPr>
          <w:sz w:val="28"/>
          <w:szCs w:val="28"/>
        </w:rPr>
      </w:pPr>
      <w:r>
        <w:rPr>
          <w:sz w:val="28"/>
          <w:szCs w:val="28"/>
        </w:rPr>
        <w:t>Обрахунки витрат за п’ять років не проводились, оскільки дії, пов’язані із запровадження регулювання з боку суб’єктів господарювання та органу влади є одноразовими і здійсняться у перший рік запровадження регулювання.</w:t>
      </w:r>
    </w:p>
    <w:p w:rsidR="0054764C" w:rsidRDefault="00574EF1">
      <w:pPr>
        <w:ind w:firstLine="567"/>
        <w:jc w:val="both"/>
        <w:rPr>
          <w:sz w:val="28"/>
          <w:szCs w:val="28"/>
        </w:rPr>
      </w:pPr>
      <w:r>
        <w:rPr>
          <w:sz w:val="28"/>
          <w:szCs w:val="28"/>
        </w:rPr>
        <w:t>5. Розроблення коригуючих (пом’якшувальних) заходів для малого підприємництва щодо запропонованого регулювання не передбачається.</w:t>
      </w:r>
    </w:p>
    <w:p w:rsidR="0054764C" w:rsidRDefault="0054764C">
      <w:pPr>
        <w:shd w:val="clear" w:color="auto" w:fill="FFFFFF"/>
        <w:ind w:firstLine="450"/>
        <w:jc w:val="both"/>
        <w:rPr>
          <w:sz w:val="28"/>
          <w:szCs w:val="28"/>
        </w:rPr>
      </w:pPr>
    </w:p>
    <w:p w:rsidR="0054764C" w:rsidRDefault="00574EF1">
      <w:pPr>
        <w:ind w:firstLine="709"/>
        <w:jc w:val="center"/>
        <w:rPr>
          <w:sz w:val="28"/>
          <w:szCs w:val="28"/>
        </w:rPr>
      </w:pPr>
      <w:r>
        <w:rPr>
          <w:sz w:val="28"/>
          <w:szCs w:val="28"/>
        </w:rPr>
        <w:t>________________________</w:t>
      </w:r>
    </w:p>
    <w:sectPr w:rsidR="0054764C">
      <w:headerReference w:type="default" r:id="rId6"/>
      <w:pgSz w:w="11906" w:h="16838"/>
      <w:pgMar w:top="993" w:right="851" w:bottom="709"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8B3" w:rsidRDefault="00574EF1">
      <w:r>
        <w:separator/>
      </w:r>
    </w:p>
  </w:endnote>
  <w:endnote w:type="continuationSeparator" w:id="0">
    <w:p w:rsidR="005A18B3" w:rsidRDefault="0057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8B3" w:rsidRDefault="00574EF1">
      <w:r>
        <w:separator/>
      </w:r>
    </w:p>
  </w:footnote>
  <w:footnote w:type="continuationSeparator" w:id="0">
    <w:p w:rsidR="005A18B3" w:rsidRDefault="00574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64C" w:rsidRDefault="00574EF1">
    <w:pPr>
      <w:pBdr>
        <w:top w:val="nil"/>
        <w:left w:val="nil"/>
        <w:bottom w:val="nil"/>
        <w:right w:val="nil"/>
        <w:between w:val="nil"/>
      </w:pBdr>
      <w:tabs>
        <w:tab w:val="center" w:pos="4677"/>
        <w:tab w:val="right" w:pos="9355"/>
      </w:tabs>
      <w:ind w:firstLine="4248"/>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29219C">
      <w:rPr>
        <w:noProof/>
        <w:color w:val="000000"/>
        <w:sz w:val="28"/>
        <w:szCs w:val="28"/>
      </w:rPr>
      <w:t>2</w:t>
    </w:r>
    <w:r>
      <w:rPr>
        <w:color w:val="000000"/>
        <w:sz w:val="28"/>
        <w:szCs w:val="28"/>
      </w:rPr>
      <w:fldChar w:fldCharType="end"/>
    </w:r>
    <w:r>
      <w:rPr>
        <w:color w:val="000000"/>
        <w:sz w:val="28"/>
        <w:szCs w:val="28"/>
      </w:rPr>
      <w:t xml:space="preserve">                            Продовження додатка 2</w:t>
    </w:r>
  </w:p>
  <w:p w:rsidR="0054764C" w:rsidRDefault="0054764C">
    <w:pPr>
      <w:pBdr>
        <w:top w:val="nil"/>
        <w:left w:val="nil"/>
        <w:bottom w:val="nil"/>
        <w:right w:val="nil"/>
        <w:between w:val="nil"/>
      </w:pBdr>
      <w:tabs>
        <w:tab w:val="center" w:pos="4677"/>
        <w:tab w:val="right" w:pos="935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4C"/>
    <w:rsid w:val="0029219C"/>
    <w:rsid w:val="0054764C"/>
    <w:rsid w:val="00574EF1"/>
    <w:rsid w:val="005A18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A4D9"/>
  <w15:docId w15:val="{2A828E63-4ECF-4B0C-909F-CE351AC6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Balloon Text"/>
    <w:basedOn w:val="a"/>
    <w:link w:val="aa"/>
    <w:uiPriority w:val="99"/>
    <w:semiHidden/>
    <w:unhideWhenUsed/>
    <w:rsid w:val="00574EF1"/>
    <w:rPr>
      <w:rFonts w:ascii="Segoe UI" w:hAnsi="Segoe UI" w:cs="Segoe UI"/>
      <w:sz w:val="18"/>
      <w:szCs w:val="18"/>
    </w:rPr>
  </w:style>
  <w:style w:type="character" w:customStyle="1" w:styleId="aa">
    <w:name w:val="Текст у виносці Знак"/>
    <w:basedOn w:val="a0"/>
    <w:link w:val="a9"/>
    <w:uiPriority w:val="99"/>
    <w:semiHidden/>
    <w:rsid w:val="00574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5442</Words>
  <Characters>3102</Characters>
  <Application>Microsoft Office Word</Application>
  <DocSecurity>0</DocSecurity>
  <Lines>25</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Яременчук Едуард Іванович</cp:lastModifiedBy>
  <cp:revision>3</cp:revision>
  <cp:lastPrinted>2024-10-01T05:38:00Z</cp:lastPrinted>
  <dcterms:created xsi:type="dcterms:W3CDTF">2024-10-01T05:33:00Z</dcterms:created>
  <dcterms:modified xsi:type="dcterms:W3CDTF">2024-10-01T08:51:00Z</dcterms:modified>
</cp:coreProperties>
</file>