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ПОРІВНЯЛЬНА ТАБЛИЦЯ</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 проєкту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tbl>
      <w:tblPr>
        <w:tblStyle w:val="Table1"/>
        <w:tblW w:w="1361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57"/>
        <w:gridCol w:w="6746"/>
        <w:gridCol w:w="15"/>
        <w:tblGridChange w:id="0">
          <w:tblGrid>
            <w:gridCol w:w="6857"/>
            <w:gridCol w:w="6746"/>
            <w:gridCol w:w="15"/>
          </w:tblGrid>
        </w:tblGridChange>
      </w:tblGrid>
      <w:tr>
        <w:trPr>
          <w:cantSplit w:val="0"/>
          <w:trHeight w:val="499" w:hRule="atLeast"/>
          <w:tblHeader w:val="0"/>
        </w:trPr>
        <w:tc>
          <w:tcPr/>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 положення акта законодавства</w:t>
            </w:r>
          </w:p>
        </w:tc>
        <w:tc>
          <w:tcPr/>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 відповідного положення проєкту акта</w:t>
            </w:r>
          </w:p>
        </w:tc>
      </w:tr>
      <w:tr>
        <w:trPr>
          <w:cantSplit w:val="0"/>
          <w:trHeight w:val="561" w:hRule="atLeast"/>
          <w:tblHeader w:val="0"/>
        </w:trPr>
        <w:tc>
          <w:tcPr>
            <w:gridSpan w:val="3"/>
          </w:tcPr>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Ліцензійні умови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затверджені постановою Кабінету Міністрів України від 30 листопада 2016 року № 929</w:t>
            </w:r>
            <w:r w:rsidDel="00000000" w:rsidR="00000000" w:rsidRPr="00000000">
              <w:rPr>
                <w:rtl w:val="0"/>
              </w:rPr>
            </w:r>
          </w:p>
        </w:tc>
      </w:tr>
      <w:tr>
        <w:trPr>
          <w:cantSplit w:val="0"/>
          <w:trHeight w:val="863" w:hRule="atLeast"/>
          <w:tblHeader w:val="0"/>
        </w:trPr>
        <w:tc>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156. Роздрібна торгівля лікарськими засобами здійснюється лише через аптеки та їх структурні підрозділи, крім випадків, передбачених </w:t>
            </w:r>
            <w:hyperlink r:id="rId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пунктом 158</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цих Ліцензійних умов.</w:t>
            </w:r>
          </w:p>
          <w:bookmarkStart w:colFirst="0" w:colLast="0" w:name="gjdgxs" w:id="0"/>
          <w:bookmarkEnd w:id="0"/>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Норма відсутня.</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Особливості організації та здійснення роздрібної торгівлі лікарськими засобами через мобільні аптечні пункти встановлюються пунктами 266-269 цих Ліцензійних умов.</w:t>
            </w:r>
          </w:p>
          <w:p w:rsidR="00000000" w:rsidDel="00000000" w:rsidP="00000000" w:rsidRDefault="00000000" w:rsidRPr="00000000" w14:paraId="00000030">
            <w:pPr>
              <w:shd w:fill="ffffff" w:val="clear"/>
              <w:ind w:firstLine="306"/>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color w:val="333333"/>
                <w:sz w:val="28"/>
                <w:szCs w:val="28"/>
                <w:rtl w:val="0"/>
              </w:rPr>
              <w:t xml:space="preserve">На підставі повідомлення (інформування) Держлікслужбою про відкриття в населеному пункті, розташованому в сільській місцевості, аптеки та/або аптечного пункту ліцензіат, який провадить на території цього населеного пункту господарську діяльність з роздрібної торгівлі лікарськими засобами через мобільний аптечний пункт, зобов’язаний подати Держлікслужбі та органу місцевого самоврядування повідомлення про зміну маршруту мобільного аптечного пункту або закриття маршруту протягом трьох робочих днів з дня отримання повідомлення від органу ліцензування.</w:t>
            </w:r>
            <w:r w:rsidDel="00000000" w:rsidR="00000000" w:rsidRPr="00000000">
              <w:rPr>
                <w:rtl w:val="0"/>
              </w:rPr>
            </w:r>
          </w:p>
        </w:tc>
        <w:tc>
          <w:tcPr/>
          <w:bookmarkStart w:colFirst="0" w:colLast="0" w:name="30j0zll" w:id="1"/>
          <w:bookmarkEnd w:id="1"/>
          <w:p w:rsidR="00000000" w:rsidDel="00000000" w:rsidP="00000000" w:rsidRDefault="00000000" w:rsidRPr="00000000" w14:paraId="00000031">
            <w:pPr>
              <w:shd w:fill="ffffff" w:val="clear"/>
              <w:tabs>
                <w:tab w:val="left" w:leader="none" w:pos="481"/>
              </w:tabs>
              <w:ind w:firstLine="306"/>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156. Роздрібна торгівля лікарськими засобами здійснюється лише через аптеки та їх структурні підрозділи, крім випадків, передбачених пунктом 158 цих Ліцензійних умов.</w:t>
            </w:r>
          </w:p>
          <w:p w:rsidR="00000000" w:rsidDel="00000000" w:rsidP="00000000" w:rsidRDefault="00000000" w:rsidRPr="00000000" w14:paraId="00000032">
            <w:pPr>
              <w:shd w:fill="ffffff" w:val="clear"/>
              <w:tabs>
                <w:tab w:val="left" w:leader="none" w:pos="481"/>
              </w:tabs>
              <w:ind w:firstLine="306"/>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 </w:t>
            </w:r>
            <w:r w:rsidDel="00000000" w:rsidR="00000000" w:rsidRPr="00000000">
              <w:rPr>
                <w:rtl w:val="0"/>
              </w:rPr>
            </w:r>
          </w:p>
          <w:p w:rsidR="00000000" w:rsidDel="00000000" w:rsidP="00000000" w:rsidRDefault="00000000" w:rsidRPr="00000000" w14:paraId="00000033">
            <w:pPr>
              <w:shd w:fill="ffffff" w:val="clear"/>
              <w:tabs>
                <w:tab w:val="left" w:leader="none" w:pos="481"/>
              </w:tabs>
              <w:ind w:firstLine="306"/>
              <w:jc w:val="both"/>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sz w:val="28"/>
                <w:szCs w:val="28"/>
                <w:rtl w:val="0"/>
              </w:rPr>
              <w:t xml:space="preserve">М</w:t>
            </w:r>
            <w:r w:rsidDel="00000000" w:rsidR="00000000" w:rsidRPr="00000000">
              <w:rPr>
                <w:rFonts w:ascii="Times New Roman" w:cs="Times New Roman" w:eastAsia="Times New Roman" w:hAnsi="Times New Roman"/>
                <w:b w:val="1"/>
                <w:color w:val="333333"/>
                <w:sz w:val="28"/>
                <w:szCs w:val="28"/>
                <w:rtl w:val="0"/>
              </w:rPr>
              <w:t xml:space="preserve">інімальна відстань між аптечними закладами повинна бути не менше 300 метрів у населених пунктах з населенням від 1 млн. і більше, а також не менше 500 метрів у населених пунктах з населенням до 1 млн. чоловік. </w:t>
            </w:r>
          </w:p>
          <w:p w:rsidR="00000000" w:rsidDel="00000000" w:rsidP="00000000" w:rsidRDefault="00000000" w:rsidRPr="00000000" w14:paraId="00000034">
            <w:pPr>
              <w:shd w:fill="ffffff" w:val="clear"/>
              <w:tabs>
                <w:tab w:val="left" w:leader="none" w:pos="481"/>
              </w:tabs>
              <w:ind w:firstLine="306"/>
              <w:jc w:val="both"/>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Вимоги щодо мінімальної відстані між аптечними закладами не застосовуються до: </w:t>
            </w:r>
          </w:p>
          <w:p w:rsidR="00000000" w:rsidDel="00000000" w:rsidP="00000000" w:rsidRDefault="00000000" w:rsidRPr="00000000" w14:paraId="00000035">
            <w:pPr>
              <w:shd w:fill="ffffff" w:val="clear"/>
              <w:ind w:firstLine="306"/>
              <w:jc w:val="both"/>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аптечних закладів та їх структурних підрозділів, що створюються у селах;</w:t>
            </w:r>
          </w:p>
          <w:p w:rsidR="00000000" w:rsidDel="00000000" w:rsidP="00000000" w:rsidRDefault="00000000" w:rsidRPr="00000000" w14:paraId="00000036">
            <w:pPr>
              <w:shd w:fill="ffffff" w:val="clear"/>
              <w:ind w:firstLine="306"/>
              <w:jc w:val="both"/>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аптечних закладів, та їх структурних підрозділів, що створюються у закладах охорони здоров’я, санаторно-курортних закладах та закладах соціального захисту;</w:t>
            </w:r>
          </w:p>
          <w:p w:rsidR="00000000" w:rsidDel="00000000" w:rsidP="00000000" w:rsidRDefault="00000000" w:rsidRPr="00000000" w14:paraId="00000037">
            <w:pPr>
              <w:shd w:fill="ffffff" w:val="clear"/>
              <w:ind w:firstLine="306"/>
              <w:jc w:val="both"/>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аптечних закладів, які мають ліцензію на провадження господарської діяльності з виробництва (виготовлення) лікарських засобів в умовах аптеки;</w:t>
            </w:r>
          </w:p>
          <w:p w:rsidR="00000000" w:rsidDel="00000000" w:rsidP="00000000" w:rsidRDefault="00000000" w:rsidRPr="00000000" w14:paraId="00000038">
            <w:pPr>
              <w:shd w:fill="ffffff" w:val="clear"/>
              <w:ind w:firstLine="306"/>
              <w:jc w:val="both"/>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аптечних закладів, які мають ліцензію на провадження господарської діяльності з виготовлення, зберігання, перевезення, придбання, реалізації (відпуску)</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333333"/>
                <w:sz w:val="28"/>
                <w:szCs w:val="28"/>
                <w:rtl w:val="0"/>
              </w:rPr>
              <w:t xml:space="preserve">наркотичних засобів, психотропних речовин і прекурсорів;</w:t>
            </w:r>
          </w:p>
          <w:p w:rsidR="00000000" w:rsidDel="00000000" w:rsidP="00000000" w:rsidRDefault="00000000" w:rsidRPr="00000000" w14:paraId="00000039">
            <w:pPr>
              <w:shd w:fill="ffffff" w:val="clear"/>
              <w:ind w:firstLine="306"/>
              <w:jc w:val="both"/>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аптечних закладів,  та їх структурних підрозділів, що створюються у період воєнного стану на територіях активних бойових дій, або тимчасово окупованих Російською Федерацією територіях, які включені до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 грудня 2022 року № 309, зареєстрованого в Міністерстві юстиції України 23 грудня 2022 року за № 1668/39004.</w:t>
            </w:r>
          </w:p>
          <w:p w:rsidR="00000000" w:rsidDel="00000000" w:rsidP="00000000" w:rsidRDefault="00000000" w:rsidRPr="00000000" w14:paraId="0000003A">
            <w:pPr>
              <w:shd w:fill="ffffff" w:val="clear"/>
              <w:ind w:firstLine="306"/>
              <w:jc w:val="both"/>
              <w:rPr>
                <w:rFonts w:ascii="Times New Roman" w:cs="Times New Roman" w:eastAsia="Times New Roman" w:hAnsi="Times New Roman"/>
                <w:b w:val="1"/>
                <w:color w:val="333333"/>
                <w:sz w:val="28"/>
                <w:szCs w:val="28"/>
              </w:rPr>
            </w:pPr>
            <w:r w:rsidDel="00000000" w:rsidR="00000000" w:rsidRPr="00000000">
              <w:rPr>
                <w:rtl w:val="0"/>
              </w:rPr>
            </w:r>
          </w:p>
          <w:p w:rsidR="00000000" w:rsidDel="00000000" w:rsidP="00000000" w:rsidRDefault="00000000" w:rsidRPr="00000000" w14:paraId="0000003B">
            <w:pPr>
              <w:shd w:fill="ffffff" w:val="clear"/>
              <w:ind w:firstLine="306"/>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Особливості організації та здійснення роздрібної торгівлі лікарськими засобами через мобільні аптечні пункти встановлюються пунктами 266-269 цих Ліцензійних умов.</w:t>
            </w:r>
          </w:p>
          <w:p w:rsidR="00000000" w:rsidDel="00000000" w:rsidP="00000000" w:rsidRDefault="00000000" w:rsidRPr="00000000" w14:paraId="0000003C">
            <w:pPr>
              <w:shd w:fill="ffffff" w:val="clear"/>
              <w:ind w:firstLine="306"/>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На підставі повідомлення (інформування) Держлікслужбою про відкриття в населеному пункті, розташованому в сільській місцевості, аптеки та/або аптечного пункту ліцензіат, який провадить на території цього населеного пункту господарську діяльність з роздрібної торгівлі лікарськими засобами через мобільний аптечний пункт, зобов’язаний подати Держлікслужбі та органу місцевого самоврядування повідомлення про зміну маршруту мобільного аптечного пункту або закриття маршруту протягом трьох робочих днів з дня отримання повідомлення від органу ліцензування.</w:t>
            </w:r>
          </w:p>
          <w:p w:rsidR="00000000" w:rsidDel="00000000" w:rsidP="00000000" w:rsidRDefault="00000000" w:rsidRPr="00000000" w14:paraId="0000003D">
            <w:pPr>
              <w:shd w:fill="ffffff" w:val="clear"/>
              <w:ind w:firstLine="306"/>
              <w:jc w:val="both"/>
              <w:rPr>
                <w:rFonts w:ascii="Times New Roman" w:cs="Times New Roman" w:eastAsia="Times New Roman" w:hAnsi="Times New Roman"/>
                <w:color w:val="333333"/>
                <w:sz w:val="28"/>
                <w:szCs w:val="28"/>
              </w:rPr>
            </w:pP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165. Ліцензіат, який провадить діяльність з роздрібної торгівлі лікарськими засобами:</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забезпечує створення необхідних умов для вільного доступу осіб з інвалідністю та інших маломобільних груп населення до приміщень відповідно до державних будівельних норм, правил і стандартів, що документально підтверджується фахівцем з питань технічного обстеження будівель та споруд, який має кваліфікаційний сертифікат;</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p w:rsidR="00000000" w:rsidDel="00000000" w:rsidP="00000000" w:rsidRDefault="00000000" w:rsidRPr="00000000" w14:paraId="00000042">
            <w:pPr>
              <w:shd w:fill="ffffff" w:val="clear"/>
              <w:tabs>
                <w:tab w:val="left" w:leader="none" w:pos="481"/>
              </w:tabs>
              <w:ind w:firstLine="306"/>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165. Ліцензіат, який провадить діяльність з роздрібної торгівлі лікарськими засобами:</w:t>
            </w:r>
          </w:p>
          <w:p w:rsidR="00000000" w:rsidDel="00000000" w:rsidP="00000000" w:rsidRDefault="00000000" w:rsidRPr="00000000" w14:paraId="00000043">
            <w:pPr>
              <w:shd w:fill="ffffff" w:val="clear"/>
              <w:tabs>
                <w:tab w:val="left" w:leader="none" w:pos="481"/>
              </w:tabs>
              <w:ind w:firstLine="306"/>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44">
            <w:pPr>
              <w:shd w:fill="ffffff" w:val="clear"/>
              <w:tabs>
                <w:tab w:val="left" w:leader="none" w:pos="481"/>
              </w:tabs>
              <w:ind w:firstLine="306"/>
              <w:jc w:val="both"/>
              <w:rPr>
                <w:rFonts w:ascii="Times New Roman" w:cs="Times New Roman" w:eastAsia="Times New Roman" w:hAnsi="Times New Roman"/>
                <w:sz w:val="28"/>
                <w:szCs w:val="28"/>
              </w:rPr>
            </w:pPr>
            <w:bookmarkStart w:colFirst="0" w:colLast="0" w:name="_1fob9te" w:id="2"/>
            <w:bookmarkEnd w:id="2"/>
            <w:r w:rsidDel="00000000" w:rsidR="00000000" w:rsidRPr="00000000">
              <w:rPr>
                <w:rFonts w:ascii="Times New Roman" w:cs="Times New Roman" w:eastAsia="Times New Roman" w:hAnsi="Times New Roman"/>
                <w:b w:val="1"/>
                <w:sz w:val="28"/>
                <w:szCs w:val="28"/>
                <w:rtl w:val="0"/>
              </w:rPr>
              <w:t xml:space="preserve">дотримується вимог щодо мінімальної відстані між аптечними закладами відповідно до державних будівельних норм, правил і стандартів, що документально підтверджується Висновком експерта з технічного обстеження, який має кваліфікаційний сертифікат на роботу класу наслідків (відповідальності)</w:t>
            </w:r>
            <w:r w:rsidDel="00000000" w:rsidR="00000000" w:rsidRPr="00000000">
              <w:rPr>
                <w:rFonts w:ascii="Times New Roman" w:cs="Times New Roman" w:eastAsia="Times New Roman" w:hAnsi="Times New Roman"/>
                <w:b w:val="1"/>
                <w:color w:val="222222"/>
                <w:sz w:val="28"/>
                <w:szCs w:val="28"/>
                <w:rtl w:val="0"/>
              </w:rPr>
              <w:t xml:space="preserve"> рівень якого визначається в залежності від категорії складності об’єкта, де розміщується аптечний заклад</w:t>
            </w:r>
            <w:r w:rsidDel="00000000" w:rsidR="00000000" w:rsidRPr="00000000">
              <w:rPr>
                <w:rFonts w:ascii="Times New Roman" w:cs="Times New Roman" w:eastAsia="Times New Roman" w:hAnsi="Times New Roman"/>
                <w:b w:val="1"/>
                <w:sz w:val="28"/>
                <w:szCs w:val="28"/>
                <w:rtl w:val="0"/>
              </w:rPr>
              <w:t xml:space="preserve">, та </w:t>
            </w:r>
            <w:r w:rsidDel="00000000" w:rsidR="00000000" w:rsidRPr="00000000">
              <w:rPr>
                <w:rFonts w:ascii="Times New Roman" w:cs="Times New Roman" w:eastAsia="Times New Roman" w:hAnsi="Times New Roman"/>
                <w:sz w:val="28"/>
                <w:szCs w:val="28"/>
                <w:rtl w:val="0"/>
              </w:rPr>
              <w:t xml:space="preserve">забезпечує створення необхідних умов для вільного доступу осіб з інвалідністю та інших маломобільних груп населення до приміщень відповідно до державних будівельних норм, правил і стандартів, що документально підтверджується фахівцем з питань технічного обстеження будівель та споруд, який має кваліфікаційний сертифікат;</w:t>
            </w:r>
          </w:p>
          <w:p w:rsidR="00000000" w:rsidDel="00000000" w:rsidP="00000000" w:rsidRDefault="00000000" w:rsidRPr="00000000" w14:paraId="00000045">
            <w:pPr>
              <w:shd w:fill="ffffff" w:val="clear"/>
              <w:tabs>
                <w:tab w:val="left" w:leader="none" w:pos="481"/>
              </w:tabs>
              <w:ind w:firstLine="306"/>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color w:val="333333"/>
                <w:sz w:val="28"/>
                <w:szCs w:val="28"/>
                <w:rtl w:val="0"/>
              </w:rPr>
              <w:t xml:space="preserve">…</w:t>
            </w:r>
          </w:p>
        </w:tc>
      </w:tr>
      <w:tr>
        <w:trPr>
          <w:cantSplit w:val="0"/>
          <w:tblHeader w:val="0"/>
        </w:trPr>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14"/>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167. Для забезпечення діяльності з роздрібної торгівлі аптека повинна:</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14"/>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14"/>
              <w:jc w:val="both"/>
              <w:rPr>
                <w:rFonts w:ascii="Times New Roman" w:cs="Times New Roman" w:eastAsia="Times New Roman" w:hAnsi="Times New Roman"/>
                <w:b w:val="1"/>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8"/>
                <w:szCs w:val="28"/>
                <w:u w:val="none"/>
                <w:shd w:fill="auto" w:val="clear"/>
                <w:vertAlign w:val="baseline"/>
                <w:rtl w:val="0"/>
              </w:rPr>
              <w:t xml:space="preserve">Норма відсутня.</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14"/>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14"/>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14"/>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1) розміщуватися у виведеному із житлового фонду окремому будинку або вбудованому (прибудованому) ізольованому приміщенні на першому поверсі з окремим самостійним виходом назовні із торговельного залу, крім випадків, передбачених цим підпунктом.</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14"/>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314"/>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4E">
            <w:pPr>
              <w:shd w:fill="ffffff" w:val="clear"/>
              <w:tabs>
                <w:tab w:val="left" w:leader="none" w:pos="481"/>
              </w:tabs>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167. Для забезпечення діяльності з роздрібної торгівлі аптека повинна:</w:t>
            </w:r>
          </w:p>
          <w:p w:rsidR="00000000" w:rsidDel="00000000" w:rsidP="00000000" w:rsidRDefault="00000000" w:rsidRPr="00000000" w14:paraId="0000004F">
            <w:pPr>
              <w:shd w:fill="ffffff" w:val="clear"/>
              <w:tabs>
                <w:tab w:val="left" w:leader="none" w:pos="481"/>
              </w:tabs>
              <w:ind w:firstLine="450"/>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50">
            <w:pPr>
              <w:shd w:fill="ffffff" w:val="clear"/>
              <w:tabs>
                <w:tab w:val="left" w:leader="none" w:pos="481"/>
              </w:tabs>
              <w:ind w:firstLine="450"/>
              <w:jc w:val="both"/>
              <w:rPr>
                <w:rFonts w:ascii="Times New Roman" w:cs="Times New Roman" w:eastAsia="Times New Roman" w:hAnsi="Times New Roman"/>
                <w:b w:val="1"/>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1) відповідати вимогам щодо мінімальної відстані між аптечними закладами;</w:t>
            </w:r>
          </w:p>
          <w:p w:rsidR="00000000" w:rsidDel="00000000" w:rsidP="00000000" w:rsidRDefault="00000000" w:rsidRPr="00000000" w14:paraId="00000051">
            <w:pPr>
              <w:shd w:fill="ffffff" w:val="clear"/>
              <w:tabs>
                <w:tab w:val="left" w:leader="none" w:pos="481"/>
              </w:tabs>
              <w:ind w:firstLine="450"/>
              <w:jc w:val="both"/>
              <w:rPr>
                <w:rFonts w:ascii="Times New Roman" w:cs="Times New Roman" w:eastAsia="Times New Roman" w:hAnsi="Times New Roman"/>
                <w:color w:val="333333"/>
                <w:sz w:val="28"/>
                <w:szCs w:val="28"/>
              </w:rPr>
            </w:pPr>
            <w:r w:rsidDel="00000000" w:rsidR="00000000" w:rsidRPr="00000000">
              <w:rPr>
                <w:rtl w:val="0"/>
              </w:rPr>
            </w:r>
          </w:p>
          <w:p w:rsidR="00000000" w:rsidDel="00000000" w:rsidP="00000000" w:rsidRDefault="00000000" w:rsidRPr="00000000" w14:paraId="00000052">
            <w:pPr>
              <w:shd w:fill="ffffff" w:val="clear"/>
              <w:tabs>
                <w:tab w:val="left" w:leader="none" w:pos="481"/>
              </w:tabs>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2) розміщуватися у виведеному із житлового фонду окремому будинку або вбудованому (прибудованому) ізольованому приміщенні на першому поверсі з окремим самостійним виходом назовні із торговельного залу, крім випадків, передбачених цим підпунктом.</w:t>
            </w:r>
          </w:p>
          <w:p w:rsidR="00000000" w:rsidDel="00000000" w:rsidP="00000000" w:rsidRDefault="00000000" w:rsidRPr="00000000" w14:paraId="00000053">
            <w:pPr>
              <w:shd w:fill="ffffff" w:val="clear"/>
              <w:tabs>
                <w:tab w:val="left" w:leader="none" w:pos="481"/>
              </w:tabs>
              <w:ind w:firstLine="450"/>
              <w:jc w:val="both"/>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rtl w:val="0"/>
              </w:rPr>
              <w:t xml:space="preserve">…</w:t>
            </w:r>
          </w:p>
        </w:tc>
      </w:tr>
    </w:tbl>
    <w:p w:rsidR="00000000" w:rsidDel="00000000" w:rsidP="00000000" w:rsidRDefault="00000000" w:rsidRPr="00000000" w14:paraId="00000054">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Міністр охорони здоров’я України                                                                                                         Віктор ЛЯШКО</w:t>
      </w:r>
    </w:p>
    <w:p w:rsidR="00000000" w:rsidDel="00000000" w:rsidP="00000000" w:rsidRDefault="00000000" w:rsidRPr="00000000" w14:paraId="00000057">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 ____________ 2024 р.</w:t>
      </w:r>
    </w:p>
    <w:sectPr>
      <w:headerReference r:id="rId7" w:type="default"/>
      <w:pgSz w:h="12240" w:w="15840" w:orient="landscape"/>
      <w:pgMar w:bottom="851" w:top="851" w:left="1440" w:right="81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zakon.rada.gov.ua/laws/show/929-2016-%D0%BF#n390"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