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16"/>
          <w:tab w:val="left" w:leader="none" w:pos="113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288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96240" cy="571500"/>
            <wp:effectExtent b="0" l="0" r="0" t="0"/>
            <wp:docPr descr="A black and white logo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black and white logo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before="288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КАБІНЕТ МІНІСТРІВ УКРАЇНИ</w:t>
      </w:r>
    </w:p>
    <w:p w:rsidR="00000000" w:rsidDel="00000000" w:rsidP="00000000" w:rsidRDefault="00000000" w:rsidRPr="00000000" w14:paraId="00000003">
      <w:pPr>
        <w:shd w:fill="ffffff" w:val="clear"/>
        <w:spacing w:after="0" w:before="288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ПОСТАНОВА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від ____________________ 2024 р. №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Київ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Кабінет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постановляє: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Внести до Ліцензійних умов провадження господарської діяльності з 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 30 листопада 2016 р. № 929 (Офіційний вісник України, 2016 р., № 99, 2021 р., № 78, ст. 4933,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2023 р., № 77 ст. 4358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2024 р., № 9, ст. 496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), зміни, що додаються.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Ця постанова набирає чинності з дня її опублікування.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Прем’єр-міністр України</w:t>
        <w:tab/>
        <w:tab/>
        <w:t xml:space="preserve">                </w:t>
        <w:tab/>
        <w:tab/>
        <w:tab/>
        <w:t xml:space="preserve">Денис ШМИГАЛЬ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ПРОЄКТ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