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84856A2" w14:textId="77777777" w:rsidR="00CC3F05" w:rsidRPr="009B634D" w:rsidRDefault="00C76A11" w:rsidP="009B634D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gjdgxs" w:colFirst="0" w:colLast="0"/>
      <w:bookmarkEnd w:id="0"/>
      <w:r w:rsidRPr="009B634D">
        <w:rPr>
          <w:rFonts w:ascii="Times New Roman" w:eastAsia="Times New Roman" w:hAnsi="Times New Roman" w:cs="Times New Roman"/>
          <w:b/>
          <w:sz w:val="28"/>
          <w:szCs w:val="28"/>
        </w:rPr>
        <w:t>Аналіз регуляторного впливу</w:t>
      </w:r>
    </w:p>
    <w:p w14:paraId="3A30814F" w14:textId="77777777" w:rsidR="00CC3F05" w:rsidRPr="009B634D" w:rsidRDefault="00CC3F05" w:rsidP="009B634D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1DD8239" w14:textId="77777777" w:rsidR="00CC3F05" w:rsidRPr="009B634D" w:rsidRDefault="00C76A11" w:rsidP="009B634D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634D">
        <w:rPr>
          <w:rFonts w:ascii="Times New Roman" w:eastAsia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Pr="009B634D">
        <w:rPr>
          <w:rFonts w:ascii="Times New Roman" w:eastAsia="Times New Roman" w:hAnsi="Times New Roman" w:cs="Times New Roman"/>
          <w:b/>
          <w:sz w:val="28"/>
          <w:szCs w:val="28"/>
        </w:rPr>
        <w:t>проєкту</w:t>
      </w:r>
      <w:proofErr w:type="spellEnd"/>
      <w:r w:rsidRPr="009B634D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постанови Кабінету Міністрів України «Про 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інгредієнтів)»</w:t>
      </w:r>
    </w:p>
    <w:p w14:paraId="59D9AC55" w14:textId="77777777" w:rsidR="00CC3F05" w:rsidRPr="009B634D" w:rsidRDefault="00CC3F05" w:rsidP="009B634D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EB51AD0" w14:textId="77777777" w:rsidR="00CC3F05" w:rsidRPr="009B634D" w:rsidRDefault="00C76A11" w:rsidP="009B634D">
      <w:pPr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634D">
        <w:rPr>
          <w:rFonts w:ascii="Times New Roman" w:eastAsia="Times New Roman" w:hAnsi="Times New Roman" w:cs="Times New Roman"/>
          <w:b/>
          <w:sz w:val="28"/>
          <w:szCs w:val="28"/>
        </w:rPr>
        <w:t>І. Визначення проблеми</w:t>
      </w:r>
    </w:p>
    <w:p w14:paraId="288B90F6" w14:textId="7DCEA08D" w:rsidR="009E415D" w:rsidRPr="009E415D" w:rsidRDefault="009E415D" w:rsidP="009B634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15D">
        <w:rPr>
          <w:rFonts w:ascii="Times New Roman" w:eastAsia="Times New Roman" w:hAnsi="Times New Roman" w:cs="Times New Roman"/>
          <w:color w:val="000000"/>
          <w:sz w:val="28"/>
          <w:szCs w:val="28"/>
        </w:rPr>
        <w:t>У зв’язку зі змінами законодавства, виникла потреба в оновленні кваліфікаційних вимог до персоналу, який займається виробництвом, роздрібною та оптовою торгівлею лікарських засобів, а також імпортом. Чинні норми не враховують сучасних вимог до професійної підготовки фахівців у цій сфері, що може негативно впливати на якість лікарських засобів, зокрема їх зберігання, транспортування та реалізацію.  </w:t>
      </w:r>
    </w:p>
    <w:p w14:paraId="0D450184" w14:textId="49677E30" w:rsidR="009E415D" w:rsidRPr="009E415D" w:rsidRDefault="009E415D" w:rsidP="009B634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Необхідно вдосконалити </w:t>
      </w:r>
      <w:r w:rsidR="003878C9" w:rsidRPr="009B6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Ліцензійні умови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інгредієнтів), затверджених постановою Кабінету Міністрів України від 30 листопада 2016 р. № 929 (далі – Ліцензійні умови), </w:t>
      </w:r>
      <w:r w:rsidRPr="009E4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забезпечення належного функціонування фармацевтичної системи якості відповідно до міжнародних стандартів та забезпечення прав кінцевого споживача.  </w:t>
      </w:r>
    </w:p>
    <w:p w14:paraId="1AEC37B1" w14:textId="77777777" w:rsidR="009E415D" w:rsidRPr="009B634D" w:rsidRDefault="009E415D" w:rsidP="009B634D">
      <w:pPr>
        <w:pStyle w:val="af2"/>
        <w:ind w:left="0" w:firstLine="709"/>
        <w:jc w:val="both"/>
      </w:pPr>
      <w:r w:rsidRPr="009B634D">
        <w:t>Так, Кодекс законів про працю України та Закон України «Про освіту» доповнено положеннями щодо професій та професійних кваліфікацій.</w:t>
      </w:r>
    </w:p>
    <w:p w14:paraId="73214FE6" w14:textId="77777777" w:rsidR="009E415D" w:rsidRPr="009B634D" w:rsidRDefault="009E415D" w:rsidP="009B634D">
      <w:pPr>
        <w:pStyle w:val="af2"/>
        <w:ind w:left="0" w:firstLine="709"/>
        <w:jc w:val="both"/>
      </w:pPr>
      <w:r w:rsidRPr="009B634D">
        <w:t>Постановою Кабінету Міністрів України від 14 липня 2021 р. № 725 затверджено Положення про систему безперервного професійного розвитку працівників сфери охорони здоров’я, відповідно до якого вимоги щодо здійснення безперервного професійного розвитку поширюються в тому числі на професіоналів та фахівців у сфері фармації, що є важливим чинником забезпечення якості надання фармацевтичної допомоги.</w:t>
      </w:r>
    </w:p>
    <w:p w14:paraId="60031926" w14:textId="77777777" w:rsidR="009E415D" w:rsidRPr="009B634D" w:rsidRDefault="009E415D" w:rsidP="009B634D">
      <w:pPr>
        <w:pStyle w:val="af2"/>
        <w:ind w:left="0" w:firstLine="709"/>
        <w:jc w:val="both"/>
      </w:pPr>
      <w:proofErr w:type="spellStart"/>
      <w:r w:rsidRPr="009B634D">
        <w:t>Внесено</w:t>
      </w:r>
      <w:proofErr w:type="spellEnd"/>
      <w:r w:rsidRPr="009B634D">
        <w:t xml:space="preserve"> зміни до Національного класифікатора України «Класифікатор професій ДК 003:2010» та переліків посад фармацевтів та фахівців з фармацевтичною освітою у закладах охорони здоров’я, затверджених наказом МОЗ від 28.10.2002 № 385 (у редакції наказу МОЗ від 20.06.2022 № 1064), зареєстрованих в </w:t>
      </w:r>
      <w:proofErr w:type="spellStart"/>
      <w:r w:rsidRPr="009B634D">
        <w:t>Мін’юстиції</w:t>
      </w:r>
      <w:proofErr w:type="spellEnd"/>
      <w:r w:rsidRPr="009B634D">
        <w:t xml:space="preserve"> 12.11.2002 за № 894/7182, в частині зміни професій/посад «провізор», «провізор-інтерн», «фармацевт» на </w:t>
      </w:r>
      <w:r w:rsidRPr="009B634D">
        <w:sym w:font="Symbol" w:char="F02D"/>
      </w:r>
      <w:r w:rsidRPr="009B634D">
        <w:t xml:space="preserve"> «фармацевт», «фармацевт-інтерн», «асистент </w:t>
      </w:r>
      <w:proofErr w:type="spellStart"/>
      <w:r w:rsidRPr="009B634D">
        <w:t>фармацевта</w:t>
      </w:r>
      <w:proofErr w:type="spellEnd"/>
      <w:r w:rsidRPr="009B634D">
        <w:t>» відповідно.</w:t>
      </w:r>
    </w:p>
    <w:p w14:paraId="71E8A48A" w14:textId="77777777" w:rsidR="009E415D" w:rsidRPr="009B634D" w:rsidRDefault="009E415D" w:rsidP="009B634D">
      <w:pPr>
        <w:pStyle w:val="af2"/>
        <w:ind w:left="0" w:firstLine="709"/>
        <w:jc w:val="both"/>
      </w:pPr>
      <w:proofErr w:type="spellStart"/>
      <w:r w:rsidRPr="009B634D">
        <w:t>Внесено</w:t>
      </w:r>
      <w:proofErr w:type="spellEnd"/>
      <w:r w:rsidRPr="009B634D">
        <w:t xml:space="preserve"> зміни до номенклатури фармацевтичних (провізорських) спеціальностей, затвердженої наказом МОЗ від 12.12.2006 № 818 (у редакції наказу МОЗ від 20.06.2022 № 1064), зареєстрованої в </w:t>
      </w:r>
      <w:proofErr w:type="spellStart"/>
      <w:r w:rsidRPr="009B634D">
        <w:t>Мін’юстиції</w:t>
      </w:r>
      <w:proofErr w:type="spellEnd"/>
      <w:r w:rsidRPr="009B634D">
        <w:t xml:space="preserve"> 26.12.2006 за № 1367/13241. </w:t>
      </w:r>
    </w:p>
    <w:p w14:paraId="04FD24E4" w14:textId="77777777" w:rsidR="009E415D" w:rsidRPr="009B634D" w:rsidRDefault="009E415D" w:rsidP="009B634D">
      <w:pPr>
        <w:pStyle w:val="af2"/>
        <w:ind w:left="0" w:firstLine="709"/>
        <w:jc w:val="both"/>
      </w:pPr>
      <w:r w:rsidRPr="009B634D">
        <w:t xml:space="preserve">Розширено перелік </w:t>
      </w:r>
      <w:proofErr w:type="spellStart"/>
      <w:r w:rsidRPr="009B634D">
        <w:t>компетентностей</w:t>
      </w:r>
      <w:proofErr w:type="spellEnd"/>
      <w:r w:rsidRPr="009B634D">
        <w:t xml:space="preserve"> клінічного </w:t>
      </w:r>
      <w:proofErr w:type="spellStart"/>
      <w:r w:rsidRPr="009B634D">
        <w:t>фармацевта</w:t>
      </w:r>
      <w:proofErr w:type="spellEnd"/>
      <w:r w:rsidRPr="009B634D">
        <w:t xml:space="preserve">, </w:t>
      </w:r>
      <w:proofErr w:type="spellStart"/>
      <w:r w:rsidRPr="009B634D">
        <w:t>фармацевта</w:t>
      </w:r>
      <w:proofErr w:type="spellEnd"/>
      <w:r w:rsidRPr="009B634D">
        <w:t xml:space="preserve">-косметолога та </w:t>
      </w:r>
      <w:proofErr w:type="spellStart"/>
      <w:r w:rsidRPr="009B634D">
        <w:t>фармацевта</w:t>
      </w:r>
      <w:proofErr w:type="spellEnd"/>
      <w:r w:rsidRPr="009B634D">
        <w:t xml:space="preserve">-інтерна, зокрема в частині відпуску лікарських засобів населенню, відповідно до кваліфікаційних характеристик, затверджених МОЗ та професійних стандартів, введених у дію відповідно до вимог Порядку розроблення, введення в дію та перегляду професійних стандартів, затвердженого постановою Кабінету Міністрів України від 31 травня 2017 р. № 373, що спрямовано на покращення доступності фармацевтичної допомоги для населення за рахунок </w:t>
      </w:r>
      <w:r w:rsidRPr="009B634D">
        <w:lastRenderedPageBreak/>
        <w:t xml:space="preserve">розширення кола професіоналів та фахівців, які мають допуск до здійснення відпуску лікарських засобів в аптеці. Вимогу щодо здійснення безперервного професійного розвитку було </w:t>
      </w:r>
      <w:proofErr w:type="spellStart"/>
      <w:r w:rsidRPr="009B634D">
        <w:t>внесено</w:t>
      </w:r>
      <w:proofErr w:type="spellEnd"/>
      <w:r w:rsidRPr="009B634D">
        <w:t xml:space="preserve"> до кваліфікаційної характеристики кожного професіонала та фахівця у сфері фармації.</w:t>
      </w:r>
    </w:p>
    <w:p w14:paraId="7E7D01E3" w14:textId="77777777" w:rsidR="009E415D" w:rsidRPr="009B634D" w:rsidRDefault="009E415D" w:rsidP="009B634D">
      <w:pPr>
        <w:pStyle w:val="af2"/>
        <w:ind w:left="0" w:firstLine="709"/>
        <w:jc w:val="both"/>
      </w:pPr>
      <w:r w:rsidRPr="009B634D">
        <w:t xml:space="preserve">Наказом МОЗ від 14.04.2022 № 621, зареєстрованим в </w:t>
      </w:r>
      <w:proofErr w:type="spellStart"/>
      <w:r w:rsidRPr="009B634D">
        <w:t>Мін’юстиції</w:t>
      </w:r>
      <w:proofErr w:type="spellEnd"/>
      <w:r w:rsidRPr="009B634D">
        <w:t xml:space="preserve"> 20.04.2022 за № 436/37772, затверджено Перелік спеціалізацій підготовки здобувачів вищої освіти ступеня магістра за спеціальністю 226 «Фармація, промислова фармація». Наказом МОН від 04.11.2022 № 981 затверджено Стандарт вищої освіти другого (магістерського) рівня за спеціальністю 226 «Фармація, промислова фармація» галузі знань 22 «Охорона здоров’я» (далі – Стандарт). Зазначеними нормативними актами встановлено дві спеціалізації в рамках спеціальності 226 «Фармація, промислова фармація», а саме: 226.01 «Фармація» та 226.02 «Промислова фармація». При цьому, Стандартом передбачена наскрізна підготовка магістра фармації, без отримання проміжного ступеня бакалавра.</w:t>
      </w:r>
    </w:p>
    <w:p w14:paraId="1CBE511C" w14:textId="77777777" w:rsidR="009E415D" w:rsidRPr="00F949DC" w:rsidRDefault="009E415D" w:rsidP="009B634D">
      <w:pPr>
        <w:pStyle w:val="af2"/>
        <w:ind w:left="0" w:firstLine="709"/>
        <w:jc w:val="both"/>
      </w:pPr>
      <w:r w:rsidRPr="009B634D">
        <w:t xml:space="preserve">1 листопада 2024 року, відповідно до постанови Кабінету Міністрів України від 30.08.2024 № 1021, набрала чинності нова редакція </w:t>
      </w:r>
      <w:bookmarkStart w:id="1" w:name="_Hlk187330414"/>
      <w:r w:rsidRPr="009B634D">
        <w:t xml:space="preserve">Переліку галузей знань і спеціальностей, за якими здійснюється підготовка здобувачів вищої та фахової </w:t>
      </w:r>
      <w:proofErr w:type="spellStart"/>
      <w:r w:rsidRPr="009B634D">
        <w:t>передвищої</w:t>
      </w:r>
      <w:proofErr w:type="spellEnd"/>
      <w:r w:rsidRPr="009B634D">
        <w:t xml:space="preserve"> освіти, затвердженого постановою Кабінету Міністрів України від 29.04.2015 № 266</w:t>
      </w:r>
      <w:bookmarkEnd w:id="1"/>
      <w:r w:rsidRPr="009B634D">
        <w:t xml:space="preserve"> (далі – Перелік), зокрема в частині зміни спеціальності 226 «Фармація, промислова фармація» на спеціальність І8 «Фармація», за якою передбачено наявність спеціалізацій. Наказом МОН від 19.11.2024 № 1625, зареєстрованої в </w:t>
      </w:r>
      <w:proofErr w:type="spellStart"/>
      <w:r w:rsidRPr="009B634D">
        <w:t>Мін’юстиції</w:t>
      </w:r>
      <w:proofErr w:type="spellEnd"/>
      <w:r w:rsidRPr="009B634D">
        <w:t xml:space="preserve"> 03.12.2024 за № 1833/43178, затверджено Таблицю відповідності спеціальностей переліку галузей знань і спеціальностей, згідно з якою спеціальність 226 «Фармація, промислова фармація» відповідає спеціальності І8 «</w:t>
      </w:r>
      <w:r w:rsidRPr="00F949DC">
        <w:t>Фармація» (за спеціалізаціями).</w:t>
      </w:r>
    </w:p>
    <w:p w14:paraId="4C3A6B86" w14:textId="77777777" w:rsidR="009E415D" w:rsidRPr="00F949DC" w:rsidRDefault="009E415D" w:rsidP="009B634D">
      <w:pPr>
        <w:pStyle w:val="af2"/>
        <w:ind w:left="0" w:firstLine="709"/>
        <w:jc w:val="both"/>
      </w:pPr>
      <w:r w:rsidRPr="00F949DC">
        <w:t xml:space="preserve">При цьому, підготовки на початковому рівні (короткий цикл) вищої освіти та першому (бакалаврському) рівні вищої освіти за спеціальністю І8 «Фармація» згідно Переліку не передбачено. Відповідно набір на освітні програми з підготовки за цією спеціальністю на зазначених рівнях вищої освіти в Україні припинено. Підготовка асистентів фармацевтів відповідно Переліку здійснюється на рівні фахової </w:t>
      </w:r>
      <w:proofErr w:type="spellStart"/>
      <w:r w:rsidRPr="00F949DC">
        <w:t>передвищої</w:t>
      </w:r>
      <w:proofErr w:type="spellEnd"/>
      <w:r w:rsidRPr="00F949DC">
        <w:t xml:space="preserve"> освіти.</w:t>
      </w:r>
    </w:p>
    <w:p w14:paraId="783BD10A" w14:textId="1E1616B3" w:rsidR="009E415D" w:rsidRPr="009B634D" w:rsidRDefault="009E415D" w:rsidP="009B634D">
      <w:pPr>
        <w:pStyle w:val="af2"/>
        <w:ind w:left="0" w:firstLine="709"/>
        <w:jc w:val="both"/>
      </w:pPr>
      <w:r w:rsidRPr="00F949DC">
        <w:t xml:space="preserve">Крім того, одним з пріоритетів державної політики у сфері охорони здоров’я є забезпечення доступності до лікарських засобів сільського населення. Однією з основних перепон для досягнення цією мети є нестача фармацевтичних кадрів у сільських районах. Одним зі шляхів вирішення цієї проблеми є допуск </w:t>
      </w:r>
      <w:bookmarkStart w:id="2" w:name="_Hlk187335856"/>
      <w:r w:rsidRPr="00F949DC">
        <w:t xml:space="preserve">до здійснення відпуску лікарських засобів в аптеці </w:t>
      </w:r>
      <w:bookmarkEnd w:id="2"/>
      <w:r w:rsidRPr="00F949DC">
        <w:t>(аптечному пункті), що розташована у селі або селищі, фахівців з медичною освітою після проходження ними підготовки на циклі спеціалізації за профілем роботи «Фармація (роздрібна реалізація лікарських засобів)» відповідно до вимог Положення про деякі заходи післядипломної освіти та</w:t>
      </w:r>
      <w:r w:rsidRPr="009B634D">
        <w:t xml:space="preserve"> безперервного професійного розвитку фахівців з фаховою </w:t>
      </w:r>
      <w:proofErr w:type="spellStart"/>
      <w:r w:rsidRPr="009B634D">
        <w:t>передвищою</w:t>
      </w:r>
      <w:proofErr w:type="spellEnd"/>
      <w:r w:rsidRPr="009B634D">
        <w:t xml:space="preserve">, початковим рівнем (короткий цикл) та першим (бакалаврським) рівнем вищої медичної і фармацевтичної освіти та магістрів з </w:t>
      </w:r>
      <w:proofErr w:type="spellStart"/>
      <w:r w:rsidRPr="009B634D">
        <w:t>медсестринства</w:t>
      </w:r>
      <w:proofErr w:type="spellEnd"/>
      <w:r w:rsidRPr="009B634D">
        <w:t xml:space="preserve">, затвердженого наказом МОЗ від 10.11.2022 № 2016, зареєстрованого в </w:t>
      </w:r>
      <w:proofErr w:type="spellStart"/>
      <w:r w:rsidRPr="009B634D">
        <w:t>Мін’юстиції</w:t>
      </w:r>
      <w:proofErr w:type="spellEnd"/>
      <w:r w:rsidRPr="009B634D">
        <w:t xml:space="preserve"> 10.01.2023 за № 39/39095. Зважаючи на це, зазначене питання також було враховано у </w:t>
      </w:r>
      <w:proofErr w:type="spellStart"/>
      <w:r w:rsidRPr="009B634D">
        <w:t>проєкті</w:t>
      </w:r>
      <w:proofErr w:type="spellEnd"/>
      <w:r w:rsidRPr="009B634D">
        <w:t xml:space="preserve"> постанови.</w:t>
      </w:r>
    </w:p>
    <w:p w14:paraId="1CCC5285" w14:textId="0DBFA068" w:rsidR="00E66FBF" w:rsidRPr="009B634D" w:rsidRDefault="00E66FBF" w:rsidP="009B634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34D">
        <w:rPr>
          <w:rFonts w:ascii="Times New Roman" w:eastAsia="Times New Roman" w:hAnsi="Times New Roman" w:cs="Times New Roman"/>
          <w:color w:val="000000"/>
          <w:sz w:val="28"/>
          <w:szCs w:val="28"/>
        </w:rPr>
        <w:t>Отже, о</w:t>
      </w:r>
      <w:r w:rsidRPr="00E66FBF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</w:t>
      </w:r>
      <w:r w:rsidRPr="009B634D"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 w:rsidRPr="00E66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проблем</w:t>
      </w:r>
      <w:r w:rsidRPr="009B634D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E66FB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B6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</w:t>
      </w:r>
      <w:r w:rsidRPr="00E66FB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A36CFDD" w14:textId="77777777" w:rsidR="00E66FBF" w:rsidRPr="009B634D" w:rsidRDefault="00E66FBF" w:rsidP="009B634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34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</w:t>
      </w:r>
      <w:r w:rsidRPr="00E66FBF">
        <w:rPr>
          <w:rFonts w:ascii="Times New Roman" w:eastAsia="Times New Roman" w:hAnsi="Times New Roman" w:cs="Times New Roman"/>
          <w:color w:val="000000"/>
          <w:sz w:val="28"/>
          <w:szCs w:val="28"/>
        </w:rPr>
        <w:t>евідповідність між чинними Ліцензійними умовами та актуальними кваліфікаційними вимогами до працівників суб’єктів господарювання, визначеними нормативно-правовими актами</w:t>
      </w:r>
      <w:r w:rsidRPr="009B634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B4BFC96" w14:textId="66E9A4E7" w:rsidR="00E66FBF" w:rsidRPr="00E66FBF" w:rsidRDefault="00E66FBF" w:rsidP="009B634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34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66FBF">
        <w:rPr>
          <w:rFonts w:ascii="Times New Roman" w:eastAsia="Times New Roman" w:hAnsi="Times New Roman" w:cs="Times New Roman"/>
          <w:color w:val="000000"/>
          <w:sz w:val="28"/>
          <w:szCs w:val="28"/>
        </w:rPr>
        <w:t>отреба забезпечення доступності лікарських засобів у сільській місцевості шляхом розширення кола фахівців, які можуть здійснювати відпуск лікарських засобів.</w:t>
      </w:r>
    </w:p>
    <w:p w14:paraId="50718F4B" w14:textId="2C682755" w:rsidR="00E66FBF" w:rsidRPr="009B634D" w:rsidRDefault="00E66FBF" w:rsidP="009B63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FBF">
        <w:rPr>
          <w:rFonts w:ascii="Times New Roman" w:eastAsia="Times New Roman" w:hAnsi="Times New Roman" w:cs="Times New Roman"/>
          <w:color w:val="000000"/>
          <w:sz w:val="28"/>
          <w:szCs w:val="28"/>
        </w:rPr>
        <w:t>Ця ситуація створює ризики неузгодженості вимог до суб’єктів господарювання, що провадять діяльність у сфері фармації, і ускладнює реалізацію державної політики у сфері охорони здоров’я.</w:t>
      </w:r>
    </w:p>
    <w:p w14:paraId="29CF52E9" w14:textId="77777777" w:rsidR="009E415D" w:rsidRPr="009B634D" w:rsidRDefault="009E415D" w:rsidP="009B634D">
      <w:pPr>
        <w:pStyle w:val="af2"/>
        <w:ind w:left="0" w:firstLine="709"/>
        <w:jc w:val="both"/>
      </w:pPr>
      <w:r w:rsidRPr="009B634D">
        <w:t>Таким чином, усе вищевикладене засвідчує необхідність приведення у відповідність до чинного законодавства України у сфері освіти, професій та безперервного професійного розвитку кваліфікаційних вимог до працівників суб’єктів господарювання (</w:t>
      </w:r>
      <w:proofErr w:type="spellStart"/>
      <w:r w:rsidRPr="009B634D">
        <w:t>ліцензіататів</w:t>
      </w:r>
      <w:proofErr w:type="spellEnd"/>
      <w:r w:rsidRPr="009B634D">
        <w:t>), які здійснюють професійну діяльність з виробництва лікарських засобів, оптової та роздрібної торгівлі лікарськими засобами, імпорту лікарських засобів, із врахуванням пріоритетів державної політики у сфері охорони здоров’я в частині фармацевтичного забезпечення населення, яке проживає в сільській місцевості.</w:t>
      </w:r>
    </w:p>
    <w:p w14:paraId="626F7EC2" w14:textId="77777777" w:rsidR="00CC3F05" w:rsidRPr="009B634D" w:rsidRDefault="00CC3F05" w:rsidP="009B634D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6A5EC7E5" w14:textId="77777777" w:rsidR="00CC3F05" w:rsidRPr="009B634D" w:rsidRDefault="00C76A11" w:rsidP="009B634D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634D">
        <w:rPr>
          <w:rFonts w:ascii="Times New Roman" w:eastAsia="Times New Roman" w:hAnsi="Times New Roman" w:cs="Times New Roman"/>
          <w:sz w:val="28"/>
          <w:szCs w:val="28"/>
        </w:rPr>
        <w:t xml:space="preserve">Реалізація </w:t>
      </w:r>
      <w:proofErr w:type="spellStart"/>
      <w:r w:rsidRPr="009B634D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9B6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634D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Pr="009B634D">
        <w:rPr>
          <w:rFonts w:ascii="Times New Roman" w:eastAsia="Times New Roman" w:hAnsi="Times New Roman" w:cs="Times New Roman"/>
          <w:sz w:val="28"/>
          <w:szCs w:val="28"/>
        </w:rPr>
        <w:t xml:space="preserve"> вплине на:</w:t>
      </w:r>
    </w:p>
    <w:p w14:paraId="512779DA" w14:textId="77777777" w:rsidR="00CC3F05" w:rsidRPr="009B634D" w:rsidRDefault="00CC3F05" w:rsidP="009B634D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680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8360"/>
        <w:gridCol w:w="700"/>
        <w:gridCol w:w="620"/>
      </w:tblGrid>
      <w:tr w:rsidR="00CC3F05" w:rsidRPr="009B634D" w14:paraId="1913CB0D" w14:textId="77777777">
        <w:trPr>
          <w:trHeight w:val="330"/>
        </w:trPr>
        <w:tc>
          <w:tcPr>
            <w:tcW w:w="8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7A7BFB" w14:textId="77777777" w:rsidR="00CC3F05" w:rsidRPr="009B634D" w:rsidRDefault="00C76A11" w:rsidP="009B634D">
            <w:pPr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Групи (підгрупи)</w:t>
            </w:r>
          </w:p>
        </w:tc>
        <w:tc>
          <w:tcPr>
            <w:tcW w:w="7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F33994" w14:textId="6EE194D0" w:rsidR="00CC3F05" w:rsidRPr="009B634D" w:rsidRDefault="00C76A11" w:rsidP="00FF02F8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63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</w:t>
            </w:r>
            <w:r w:rsidR="00FF02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</w:t>
            </w:r>
            <w:r w:rsidRPr="009B63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</w:t>
            </w:r>
            <w:proofErr w:type="spellEnd"/>
          </w:p>
        </w:tc>
        <w:tc>
          <w:tcPr>
            <w:tcW w:w="6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F4C41A" w14:textId="42E32A04" w:rsidR="00CC3F05" w:rsidRPr="009B634D" w:rsidRDefault="00FF02F8" w:rsidP="00FF02F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Ні</w:t>
            </w:r>
          </w:p>
        </w:tc>
      </w:tr>
      <w:tr w:rsidR="00CC3F05" w:rsidRPr="009B634D" w14:paraId="1EBC8726" w14:textId="77777777">
        <w:trPr>
          <w:trHeight w:val="311"/>
        </w:trPr>
        <w:tc>
          <w:tcPr>
            <w:tcW w:w="8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616EA4" w14:textId="77777777" w:rsidR="00CC3F05" w:rsidRPr="009B634D" w:rsidRDefault="00C76A11" w:rsidP="009B634D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Громадяни</w:t>
            </w:r>
          </w:p>
        </w:tc>
        <w:tc>
          <w:tcPr>
            <w:tcW w:w="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DE56E7" w14:textId="1FCFC51B" w:rsidR="00CC3F05" w:rsidRPr="009B634D" w:rsidRDefault="00FF02F8" w:rsidP="009B634D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C76A11"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B8C723" w14:textId="77777777" w:rsidR="00CC3F05" w:rsidRPr="009B634D" w:rsidRDefault="00CC3F05" w:rsidP="009B634D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3F05" w:rsidRPr="009B634D" w14:paraId="5FF7F44E" w14:textId="77777777">
        <w:trPr>
          <w:trHeight w:val="311"/>
        </w:trPr>
        <w:tc>
          <w:tcPr>
            <w:tcW w:w="8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9972FA" w14:textId="77777777" w:rsidR="00CC3F05" w:rsidRPr="009B634D" w:rsidRDefault="00C76A11" w:rsidP="009B634D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Держава</w:t>
            </w:r>
          </w:p>
        </w:tc>
        <w:tc>
          <w:tcPr>
            <w:tcW w:w="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DCC72C" w14:textId="00C954A2" w:rsidR="00CC3F05" w:rsidRPr="009B634D" w:rsidRDefault="00FF02F8" w:rsidP="009B634D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C76A11"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D1C178" w14:textId="77777777" w:rsidR="00CC3F05" w:rsidRPr="009B634D" w:rsidRDefault="00CC3F05" w:rsidP="009B634D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3F05" w:rsidRPr="009B634D" w14:paraId="4F60EC8B" w14:textId="77777777">
        <w:trPr>
          <w:trHeight w:val="311"/>
        </w:trPr>
        <w:tc>
          <w:tcPr>
            <w:tcW w:w="8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643AC3" w14:textId="77777777" w:rsidR="00CC3F05" w:rsidRPr="009B634D" w:rsidRDefault="00C76A11" w:rsidP="009B634D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Суб’єкти господарювання</w:t>
            </w:r>
          </w:p>
        </w:tc>
        <w:tc>
          <w:tcPr>
            <w:tcW w:w="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2F304C" w14:textId="46C08AB1" w:rsidR="00CC3F05" w:rsidRPr="009B634D" w:rsidRDefault="00FF02F8" w:rsidP="009B634D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C76A11"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5C84D6" w14:textId="77777777" w:rsidR="00CC3F05" w:rsidRPr="009B634D" w:rsidRDefault="00CC3F05" w:rsidP="009B634D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3F05" w:rsidRPr="009B634D" w14:paraId="18315542" w14:textId="77777777">
        <w:trPr>
          <w:trHeight w:val="314"/>
        </w:trPr>
        <w:tc>
          <w:tcPr>
            <w:tcW w:w="8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5F726D" w14:textId="77777777" w:rsidR="00CC3F05" w:rsidRPr="009B634D" w:rsidRDefault="00C76A11" w:rsidP="009B634D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у тому числі суб’єкти великого і середнього підприємництва*</w:t>
            </w:r>
          </w:p>
        </w:tc>
        <w:tc>
          <w:tcPr>
            <w:tcW w:w="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B5A8F2" w14:textId="639578D9" w:rsidR="00CC3F05" w:rsidRPr="009B634D" w:rsidRDefault="00FF02F8" w:rsidP="009B634D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C76A11"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1F3498" w14:textId="77777777" w:rsidR="00CC3F05" w:rsidRPr="009B634D" w:rsidRDefault="00CC3F05" w:rsidP="009B634D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7A074A2" w14:textId="77777777" w:rsidR="00CC3F05" w:rsidRPr="009B634D" w:rsidRDefault="00CC3F05" w:rsidP="009B634D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21A73269" w14:textId="77777777" w:rsidR="00CC3F05" w:rsidRPr="009B634D" w:rsidRDefault="00C76A11" w:rsidP="009B634D">
      <w:pPr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634D">
        <w:rPr>
          <w:rFonts w:ascii="Times New Roman" w:eastAsia="Times New Roman" w:hAnsi="Times New Roman" w:cs="Times New Roman"/>
          <w:b/>
          <w:sz w:val="28"/>
          <w:szCs w:val="28"/>
        </w:rPr>
        <w:t>ІІ. Цілі державного регулювання</w:t>
      </w:r>
    </w:p>
    <w:p w14:paraId="2645AB88" w14:textId="77777777" w:rsidR="00CC3F05" w:rsidRPr="009B634D" w:rsidRDefault="00CC3F05" w:rsidP="009B634D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59D23B86" w14:textId="3E387970" w:rsidR="00CC3F05" w:rsidRPr="009B634D" w:rsidRDefault="00C76A11" w:rsidP="009B634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34D">
        <w:rPr>
          <w:rFonts w:ascii="Times New Roman" w:eastAsia="Times New Roman" w:hAnsi="Times New Roman" w:cs="Times New Roman"/>
          <w:sz w:val="28"/>
          <w:szCs w:val="28"/>
        </w:rPr>
        <w:t xml:space="preserve">Метою прийняття </w:t>
      </w:r>
      <w:proofErr w:type="spellStart"/>
      <w:r w:rsidRPr="009B634D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Pr="009B6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415D" w:rsidRPr="009B634D">
        <w:rPr>
          <w:rFonts w:ascii="Times New Roman" w:eastAsia="Times New Roman" w:hAnsi="Times New Roman" w:cs="Times New Roman"/>
          <w:sz w:val="28"/>
          <w:szCs w:val="28"/>
        </w:rPr>
        <w:t xml:space="preserve">є </w:t>
      </w:r>
      <w:r w:rsidR="009E415D" w:rsidRPr="009B634D">
        <w:rPr>
          <w:rFonts w:ascii="Times New Roman" w:hAnsi="Times New Roman" w:cs="Times New Roman"/>
          <w:spacing w:val="1"/>
          <w:sz w:val="28"/>
          <w:szCs w:val="28"/>
        </w:rPr>
        <w:t>приведення у відповідність до чинного законодавства України у сфері освіти та професій кваліфікаційних вимог до працівників суб’єктів господарювання (</w:t>
      </w:r>
      <w:proofErr w:type="spellStart"/>
      <w:r w:rsidR="009E415D" w:rsidRPr="009B634D">
        <w:rPr>
          <w:rFonts w:ascii="Times New Roman" w:hAnsi="Times New Roman" w:cs="Times New Roman"/>
          <w:spacing w:val="1"/>
          <w:sz w:val="28"/>
          <w:szCs w:val="28"/>
        </w:rPr>
        <w:t>ліцензіататів</w:t>
      </w:r>
      <w:proofErr w:type="spellEnd"/>
      <w:r w:rsidR="009E415D" w:rsidRPr="009B634D">
        <w:rPr>
          <w:rFonts w:ascii="Times New Roman" w:hAnsi="Times New Roman" w:cs="Times New Roman"/>
          <w:spacing w:val="1"/>
          <w:sz w:val="28"/>
          <w:szCs w:val="28"/>
        </w:rPr>
        <w:t>), які здійснюють професійну фармацевтичну діяльність</w:t>
      </w:r>
      <w:r w:rsidR="009E415D" w:rsidRPr="009B634D">
        <w:rPr>
          <w:rFonts w:ascii="Times New Roman" w:hAnsi="Times New Roman" w:cs="Times New Roman"/>
          <w:sz w:val="28"/>
          <w:szCs w:val="28"/>
        </w:rPr>
        <w:t>.</w:t>
      </w:r>
    </w:p>
    <w:p w14:paraId="1260A3A2" w14:textId="77777777" w:rsidR="00BC7A08" w:rsidRPr="009B634D" w:rsidRDefault="00C76A11" w:rsidP="009B634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32323"/>
          <w:sz w:val="28"/>
          <w:szCs w:val="28"/>
        </w:rPr>
      </w:pPr>
      <w:r w:rsidRPr="009B634D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Прийняття цього </w:t>
      </w:r>
      <w:proofErr w:type="spellStart"/>
      <w:r w:rsidRPr="009B634D">
        <w:rPr>
          <w:rFonts w:ascii="Times New Roman" w:eastAsia="Times New Roman" w:hAnsi="Times New Roman" w:cs="Times New Roman"/>
          <w:color w:val="232323"/>
          <w:sz w:val="28"/>
          <w:szCs w:val="28"/>
        </w:rPr>
        <w:t>проєкту</w:t>
      </w:r>
      <w:proofErr w:type="spellEnd"/>
      <w:r w:rsidRPr="009B634D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 постанови сприятиме вирішенню ряду питань:</w:t>
      </w:r>
    </w:p>
    <w:p w14:paraId="6005801E" w14:textId="70DBF203" w:rsidR="00BC7A08" w:rsidRPr="009B634D" w:rsidRDefault="00BC7A08" w:rsidP="009B634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32323"/>
          <w:sz w:val="28"/>
          <w:szCs w:val="28"/>
        </w:rPr>
      </w:pPr>
      <w:r w:rsidRPr="009B634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C7A08">
        <w:rPr>
          <w:rFonts w:ascii="Times New Roman" w:eastAsia="Times New Roman" w:hAnsi="Times New Roman" w:cs="Times New Roman"/>
          <w:color w:val="000000"/>
          <w:sz w:val="28"/>
          <w:szCs w:val="28"/>
        </w:rPr>
        <w:t>риведенн</w:t>
      </w:r>
      <w:r w:rsidR="00E66FBF" w:rsidRPr="009B634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C7A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1940" w:rsidRPr="009B634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C7A08">
        <w:rPr>
          <w:rFonts w:ascii="Times New Roman" w:eastAsia="Times New Roman" w:hAnsi="Times New Roman" w:cs="Times New Roman"/>
          <w:color w:val="000000"/>
          <w:sz w:val="28"/>
          <w:szCs w:val="28"/>
        </w:rPr>
        <w:t>іцензійних умов у відповідність до змін у законодавстві</w:t>
      </w:r>
      <w:r w:rsidRPr="009B634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BC7A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661E216" w14:textId="784AAFB2" w:rsidR="00BC7A08" w:rsidRPr="009B634D" w:rsidRDefault="00BC7A08" w:rsidP="009B634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32323"/>
          <w:sz w:val="28"/>
          <w:szCs w:val="28"/>
        </w:rPr>
      </w:pPr>
      <w:r w:rsidRPr="009B634D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підвищенню </w:t>
      </w:r>
      <w:r w:rsidRPr="00BC7A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рівня </w:t>
      </w:r>
      <w:r w:rsidR="00E66FBF" w:rsidRPr="009B6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освіти фармацевтів-інтернів та </w:t>
      </w:r>
      <w:r w:rsidRPr="00BC7A08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професійної кваліфікації працівників суб’єктів господарювання, які відповідають за якість лікарських засобів</w:t>
      </w:r>
      <w:r w:rsidR="0035049B" w:rsidRPr="009B6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їх реалізацію</w:t>
      </w:r>
      <w:r w:rsidRPr="009B634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2086228" w14:textId="6FDEC520" w:rsidR="00BC7A08" w:rsidRPr="009B634D" w:rsidRDefault="00BC7A08" w:rsidP="009B634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34D">
        <w:rPr>
          <w:rFonts w:ascii="Times New Roman" w:eastAsia="Times New Roman" w:hAnsi="Times New Roman" w:cs="Times New Roman"/>
          <w:color w:val="232323"/>
          <w:sz w:val="28"/>
          <w:szCs w:val="28"/>
        </w:rPr>
        <w:t>з</w:t>
      </w:r>
      <w:r w:rsidR="00E66FBF" w:rsidRPr="009B634D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ниженню </w:t>
      </w:r>
      <w:r w:rsidRPr="00BC7A08">
        <w:rPr>
          <w:rFonts w:ascii="Times New Roman" w:eastAsia="Times New Roman" w:hAnsi="Times New Roman" w:cs="Times New Roman"/>
          <w:color w:val="000000"/>
          <w:sz w:val="28"/>
          <w:szCs w:val="28"/>
        </w:rPr>
        <w:t>ризиків, пов’язаних із порушенням вимог якості лікарських засобів</w:t>
      </w:r>
      <w:r w:rsidR="00E66FBF" w:rsidRPr="009B634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73812ED" w14:textId="69B7F182" w:rsidR="00E66FBF" w:rsidRPr="00E66FBF" w:rsidRDefault="00E66FBF" w:rsidP="009B634D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B634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66FBF">
        <w:rPr>
          <w:rFonts w:ascii="Times New Roman" w:eastAsia="Times New Roman" w:hAnsi="Times New Roman" w:cs="Times New Roman"/>
          <w:color w:val="000000"/>
          <w:sz w:val="28"/>
          <w:szCs w:val="28"/>
        </w:rPr>
        <w:t>окращенн</w:t>
      </w:r>
      <w:r w:rsidRPr="009B634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E66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доступності фармацевтичн</w:t>
      </w:r>
      <w:r w:rsidR="0035049B" w:rsidRPr="009B6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послуг </w:t>
      </w:r>
      <w:r w:rsidRPr="00E66FBF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населення, особливо у сільській місцевості.</w:t>
      </w:r>
    </w:p>
    <w:p w14:paraId="503D59E8" w14:textId="77777777" w:rsidR="00E66FBF" w:rsidRPr="00BC7A08" w:rsidRDefault="00E66FBF" w:rsidP="009B634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32323"/>
          <w:sz w:val="28"/>
          <w:szCs w:val="28"/>
        </w:rPr>
      </w:pPr>
    </w:p>
    <w:p w14:paraId="48589F61" w14:textId="77777777" w:rsidR="00FF02F8" w:rsidRDefault="00FF02F8" w:rsidP="009B634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78B5C1" w14:textId="77777777" w:rsidR="00FF02F8" w:rsidRDefault="00FF02F8" w:rsidP="009B634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825903" w14:textId="0AE72B67" w:rsidR="00CC3F05" w:rsidRPr="009B634D" w:rsidRDefault="00C76A11" w:rsidP="009B634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634D">
        <w:rPr>
          <w:rFonts w:ascii="Times New Roman" w:eastAsia="Times New Roman" w:hAnsi="Times New Roman" w:cs="Times New Roman"/>
          <w:b/>
          <w:sz w:val="28"/>
          <w:szCs w:val="28"/>
        </w:rPr>
        <w:t>ІІІ. Визначення та оцінка альтернативних способів досягнення цілей</w:t>
      </w:r>
    </w:p>
    <w:p w14:paraId="049DBE41" w14:textId="77777777" w:rsidR="00CC3F05" w:rsidRPr="009B634D" w:rsidRDefault="00CC3F05" w:rsidP="009B634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988840" w14:textId="77777777" w:rsidR="00CC3F05" w:rsidRPr="009B634D" w:rsidRDefault="00C76A11" w:rsidP="009B634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34D">
        <w:rPr>
          <w:rFonts w:ascii="Times New Roman" w:eastAsia="Times New Roman" w:hAnsi="Times New Roman" w:cs="Times New Roman"/>
          <w:sz w:val="28"/>
          <w:szCs w:val="28"/>
        </w:rPr>
        <w:t>1. Визначення альтернативних способів</w:t>
      </w:r>
    </w:p>
    <w:p w14:paraId="20AFC16A" w14:textId="77777777" w:rsidR="00CC3F05" w:rsidRPr="009B634D" w:rsidRDefault="00CC3F05" w:rsidP="009B634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99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81"/>
        <w:gridCol w:w="7723"/>
        <w:gridCol w:w="84"/>
      </w:tblGrid>
      <w:tr w:rsidR="00CC3F05" w:rsidRPr="009B634D" w14:paraId="3812F2E0" w14:textId="77777777">
        <w:trPr>
          <w:jc w:val="center"/>
        </w:trPr>
        <w:tc>
          <w:tcPr>
            <w:tcW w:w="2181" w:type="dxa"/>
          </w:tcPr>
          <w:p w14:paraId="119BC1E6" w14:textId="77777777" w:rsidR="00CC3F05" w:rsidRPr="009B634D" w:rsidRDefault="00C76A11" w:rsidP="009B6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Вид альтернативи</w:t>
            </w:r>
          </w:p>
        </w:tc>
        <w:tc>
          <w:tcPr>
            <w:tcW w:w="7723" w:type="dxa"/>
            <w:tcBorders>
              <w:right w:val="single" w:sz="4" w:space="0" w:color="000000"/>
            </w:tcBorders>
          </w:tcPr>
          <w:p w14:paraId="1F6A457C" w14:textId="77777777" w:rsidR="00CC3F05" w:rsidRPr="009B634D" w:rsidRDefault="00C76A11" w:rsidP="009B6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Опис альтернативи</w:t>
            </w:r>
          </w:p>
        </w:tc>
        <w:tc>
          <w:tcPr>
            <w:tcW w:w="8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AF870FA" w14:textId="77777777" w:rsidR="00CC3F05" w:rsidRPr="009B634D" w:rsidRDefault="00CC3F05" w:rsidP="009B6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C3F05" w:rsidRPr="009B634D" w14:paraId="0B210BC7" w14:textId="77777777">
        <w:trPr>
          <w:jc w:val="center"/>
        </w:trPr>
        <w:tc>
          <w:tcPr>
            <w:tcW w:w="2181" w:type="dxa"/>
          </w:tcPr>
          <w:p w14:paraId="5E2A537B" w14:textId="081CF266" w:rsidR="00CC3F05" w:rsidRPr="009B634D" w:rsidRDefault="00C76A11" w:rsidP="009B6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Альтернатива 1</w:t>
            </w:r>
          </w:p>
          <w:p w14:paraId="598BF2F8" w14:textId="68F4EB9C" w:rsidR="002D279C" w:rsidRPr="009B634D" w:rsidRDefault="002D279C" w:rsidP="009B6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залишити ситуацію без змін</w:t>
            </w:r>
          </w:p>
          <w:p w14:paraId="49FC3CDD" w14:textId="16B82FCD" w:rsidR="00F21940" w:rsidRPr="009B634D" w:rsidRDefault="00F21940" w:rsidP="009B6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23" w:type="dxa"/>
            <w:tcBorders>
              <w:right w:val="single" w:sz="4" w:space="0" w:color="000000"/>
            </w:tcBorders>
          </w:tcPr>
          <w:p w14:paraId="6CB7BAAE" w14:textId="5EF71078" w:rsidR="00CC3F05" w:rsidRPr="009B634D" w:rsidRDefault="00F21940" w:rsidP="00FF02F8">
            <w:pPr>
              <w:ind w:left="57" w:right="57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Цей варіант є неприйнятним, оскільки не вирішує зазначених проблем і створює ризики подальшої невідповідності </w:t>
            </w:r>
            <w:r w:rsidR="0035049B" w:rsidRPr="009B6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35049B" w:rsidRPr="00BC7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іцензійних умов</w:t>
            </w:r>
            <w:r w:rsidR="0035049B" w:rsidRPr="009B6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іншим нормативно-правовим актам, що визначають умови допуску до професій </w:t>
            </w:r>
            <w:r w:rsidR="002B6FF7" w:rsidRPr="009B634D">
              <w:rPr>
                <w:rFonts w:ascii="Times New Roman" w:hAnsi="Times New Roman" w:cs="Times New Roman"/>
                <w:sz w:val="28"/>
                <w:szCs w:val="28"/>
              </w:rPr>
              <w:t xml:space="preserve">«фармацевт», «фармацевт-інтерн», «асистент </w:t>
            </w:r>
            <w:proofErr w:type="spellStart"/>
            <w:r w:rsidR="002B6FF7" w:rsidRPr="009B634D">
              <w:rPr>
                <w:rFonts w:ascii="Times New Roman" w:hAnsi="Times New Roman" w:cs="Times New Roman"/>
                <w:sz w:val="28"/>
                <w:szCs w:val="28"/>
              </w:rPr>
              <w:t>фармацевта</w:t>
            </w:r>
            <w:proofErr w:type="spellEnd"/>
            <w:r w:rsidR="002B6FF7" w:rsidRPr="009B634D">
              <w:rPr>
                <w:rFonts w:ascii="Times New Roman" w:hAnsi="Times New Roman" w:cs="Times New Roman"/>
                <w:sz w:val="28"/>
                <w:szCs w:val="28"/>
              </w:rPr>
              <w:t xml:space="preserve">», клінічного </w:t>
            </w:r>
            <w:proofErr w:type="spellStart"/>
            <w:r w:rsidR="002B6FF7" w:rsidRPr="009B634D">
              <w:rPr>
                <w:rFonts w:ascii="Times New Roman" w:hAnsi="Times New Roman" w:cs="Times New Roman"/>
                <w:sz w:val="28"/>
                <w:szCs w:val="28"/>
              </w:rPr>
              <w:t>фармацевта</w:t>
            </w:r>
            <w:proofErr w:type="spellEnd"/>
            <w:r w:rsidR="002B6FF7" w:rsidRPr="009B63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B6FF7" w:rsidRPr="009B634D">
              <w:rPr>
                <w:rFonts w:ascii="Times New Roman" w:hAnsi="Times New Roman" w:cs="Times New Roman"/>
                <w:sz w:val="28"/>
                <w:szCs w:val="28"/>
              </w:rPr>
              <w:t>фармацевта</w:t>
            </w:r>
            <w:proofErr w:type="spellEnd"/>
            <w:r w:rsidR="002B6FF7" w:rsidRPr="009B634D">
              <w:rPr>
                <w:rFonts w:ascii="Times New Roman" w:hAnsi="Times New Roman" w:cs="Times New Roman"/>
                <w:sz w:val="28"/>
                <w:szCs w:val="28"/>
              </w:rPr>
              <w:t>-косметолога.</w:t>
            </w:r>
            <w:r w:rsidR="002D279C" w:rsidRPr="009B6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279C" w:rsidRPr="009B6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Зростання ризиків порушення прав споживачів через низький рівень кваліфікації персоналу та подальший незадовільний рівень надання фармацевтичних послуг у сільських населених пунктах.</w:t>
            </w:r>
          </w:p>
        </w:tc>
        <w:tc>
          <w:tcPr>
            <w:tcW w:w="8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F81A197" w14:textId="77777777" w:rsidR="00CC3F05" w:rsidRPr="009B634D" w:rsidRDefault="00CC3F05" w:rsidP="009B6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C3F05" w:rsidRPr="009B634D" w14:paraId="69889BE8" w14:textId="77777777">
        <w:trPr>
          <w:jc w:val="center"/>
        </w:trPr>
        <w:tc>
          <w:tcPr>
            <w:tcW w:w="2181" w:type="dxa"/>
          </w:tcPr>
          <w:p w14:paraId="4EAD3C00" w14:textId="7A5061BA" w:rsidR="002D279C" w:rsidRPr="009B634D" w:rsidRDefault="00C76A11" w:rsidP="009B6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Альтернатива 2</w:t>
            </w:r>
            <w:r w:rsidR="009B6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D279C" w:rsidRPr="009B6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затвердження </w:t>
            </w:r>
            <w:proofErr w:type="spellStart"/>
            <w:r w:rsidR="002D279C" w:rsidRPr="009B6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проєкту</w:t>
            </w:r>
            <w:proofErr w:type="spellEnd"/>
            <w:r w:rsidR="002D279C" w:rsidRPr="009B6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постанови</w:t>
            </w:r>
          </w:p>
          <w:p w14:paraId="0DCD96AE" w14:textId="05BD45A2" w:rsidR="00F21940" w:rsidRPr="009B634D" w:rsidRDefault="00F21940" w:rsidP="009B6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23" w:type="dxa"/>
            <w:tcBorders>
              <w:right w:val="single" w:sz="4" w:space="0" w:color="000000"/>
            </w:tcBorders>
          </w:tcPr>
          <w:p w14:paraId="7D767BE6" w14:textId="12833EAD" w:rsidR="00F21940" w:rsidRPr="009B634D" w:rsidRDefault="00F21940" w:rsidP="00FF02F8">
            <w:pPr>
              <w:pStyle w:val="af4"/>
              <w:spacing w:before="0" w:beforeAutospacing="0" w:after="0" w:afterAutospacing="0"/>
              <w:ind w:left="57" w:right="57" w:firstLine="709"/>
              <w:jc w:val="both"/>
              <w:rPr>
                <w:color w:val="000000"/>
                <w:sz w:val="28"/>
                <w:szCs w:val="28"/>
              </w:rPr>
            </w:pPr>
            <w:r w:rsidRPr="009B634D">
              <w:rPr>
                <w:color w:val="000000"/>
                <w:sz w:val="28"/>
                <w:szCs w:val="28"/>
              </w:rPr>
              <w:t>Цей варіант забезпечить досягнення цілей регулювання, зокрема:</w:t>
            </w:r>
          </w:p>
          <w:p w14:paraId="62517FBB" w14:textId="057C1761" w:rsidR="0035049B" w:rsidRPr="009B634D" w:rsidRDefault="0035049B" w:rsidP="00FF02F8">
            <w:pPr>
              <w:shd w:val="clear" w:color="auto" w:fill="FFFFFF"/>
              <w:ind w:left="57" w:right="57" w:firstLine="709"/>
              <w:jc w:val="both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BC7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риведенн</w:t>
            </w:r>
            <w:r w:rsidRPr="009B6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BC7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6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BC7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іцензійних умов у відповідність до змін у законодавстві</w:t>
            </w:r>
            <w:r w:rsidRPr="009B6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BC7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6B9E0A7D" w14:textId="1404D1A8" w:rsidR="0035049B" w:rsidRPr="009B634D" w:rsidRDefault="0035049B" w:rsidP="00FF02F8">
            <w:pPr>
              <w:shd w:val="clear" w:color="auto" w:fill="FFFFFF"/>
              <w:ind w:left="57" w:right="57" w:firstLine="709"/>
              <w:jc w:val="both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</w:rPr>
              <w:t xml:space="preserve">підвищення </w:t>
            </w:r>
            <w:r w:rsidRPr="00BC7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рівня </w:t>
            </w:r>
            <w:r w:rsidRPr="009B6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освіти фармацевтів-інтернів та </w:t>
            </w:r>
            <w:r w:rsidRPr="00BC7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професійної кваліфікації працівників суб’єктів господарювання, які відповідають за якість лікарських засобів</w:t>
            </w:r>
            <w:r w:rsidRPr="009B6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їх реалізацію;</w:t>
            </w:r>
          </w:p>
          <w:p w14:paraId="29054A48" w14:textId="4AD355EF" w:rsidR="0035049B" w:rsidRPr="009B634D" w:rsidRDefault="0035049B" w:rsidP="00FF02F8">
            <w:pPr>
              <w:shd w:val="clear" w:color="auto" w:fill="FFFFFF"/>
              <w:ind w:left="57" w:right="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</w:rPr>
              <w:t xml:space="preserve">зниження </w:t>
            </w:r>
            <w:r w:rsidRPr="00BC7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ризиків, пов’язаних із порушенням вимог якості лікарських засобів</w:t>
            </w:r>
            <w:r w:rsidRPr="009B6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231A4C55" w14:textId="4C6845F5" w:rsidR="00CC3F05" w:rsidRPr="009B634D" w:rsidRDefault="0035049B" w:rsidP="00FF02F8">
            <w:pPr>
              <w:ind w:left="57" w:righ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66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окращенн</w:t>
            </w:r>
            <w:r w:rsidRPr="009B6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E66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доступності фармацевтичн</w:t>
            </w:r>
            <w:r w:rsidRPr="009B6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их послуг </w:t>
            </w:r>
            <w:r w:rsidRPr="00E66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населення, особливо у сільській місцевості.</w:t>
            </w:r>
          </w:p>
        </w:tc>
        <w:tc>
          <w:tcPr>
            <w:tcW w:w="8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2EF186B" w14:textId="77777777" w:rsidR="00CC3F05" w:rsidRPr="009B634D" w:rsidRDefault="00C76A11" w:rsidP="009B634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38D207B8" w14:textId="77777777" w:rsidR="00CC3F05" w:rsidRPr="009B634D" w:rsidRDefault="00CC3F05" w:rsidP="009B634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7F0205" w14:textId="77777777" w:rsidR="00CC3F05" w:rsidRPr="009B634D" w:rsidRDefault="00C76A11" w:rsidP="009B634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34D">
        <w:rPr>
          <w:rFonts w:ascii="Times New Roman" w:eastAsia="Times New Roman" w:hAnsi="Times New Roman" w:cs="Times New Roman"/>
          <w:sz w:val="28"/>
          <w:szCs w:val="28"/>
        </w:rPr>
        <w:t>2. Оцінка вибраних альтернативних способів досягнення цілей</w:t>
      </w:r>
    </w:p>
    <w:p w14:paraId="5F7D7466" w14:textId="77777777" w:rsidR="00CC3F05" w:rsidRPr="009B634D" w:rsidRDefault="00CC3F05" w:rsidP="009B634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E74D2F" w14:textId="77777777" w:rsidR="00CC3F05" w:rsidRPr="009B634D" w:rsidRDefault="00C76A11" w:rsidP="009B634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34D">
        <w:rPr>
          <w:rFonts w:ascii="Times New Roman" w:eastAsia="Times New Roman" w:hAnsi="Times New Roman" w:cs="Times New Roman"/>
          <w:sz w:val="28"/>
          <w:szCs w:val="28"/>
        </w:rPr>
        <w:t>Оцінка впливу на сферу інтересів держави</w:t>
      </w:r>
    </w:p>
    <w:tbl>
      <w:tblPr>
        <w:tblStyle w:val="a7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4932"/>
        <w:gridCol w:w="2835"/>
        <w:gridCol w:w="284"/>
      </w:tblGrid>
      <w:tr w:rsidR="00CC3F05" w:rsidRPr="009B634D" w14:paraId="4A55578E" w14:textId="77777777" w:rsidTr="009B634D">
        <w:tc>
          <w:tcPr>
            <w:tcW w:w="2122" w:type="dxa"/>
            <w:shd w:val="clear" w:color="auto" w:fill="auto"/>
          </w:tcPr>
          <w:p w14:paraId="46890600" w14:textId="77777777" w:rsidR="00CC3F05" w:rsidRPr="009B634D" w:rsidRDefault="00C76A11" w:rsidP="009B63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альтернативи</w:t>
            </w:r>
          </w:p>
        </w:tc>
        <w:tc>
          <w:tcPr>
            <w:tcW w:w="4932" w:type="dxa"/>
            <w:shd w:val="clear" w:color="auto" w:fill="auto"/>
          </w:tcPr>
          <w:p w14:paraId="11B806A5" w14:textId="77777777" w:rsidR="00CC3F05" w:rsidRPr="009B634D" w:rsidRDefault="00C76A11" w:rsidP="009B634D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Вигоди</w:t>
            </w:r>
          </w:p>
        </w:tc>
        <w:tc>
          <w:tcPr>
            <w:tcW w:w="2835" w:type="dxa"/>
            <w:tcBorders>
              <w:right w:val="single" w:sz="4" w:space="0" w:color="000000"/>
            </w:tcBorders>
            <w:shd w:val="clear" w:color="auto" w:fill="auto"/>
          </w:tcPr>
          <w:p w14:paraId="5BE396D8" w14:textId="77777777" w:rsidR="00CC3F05" w:rsidRPr="009B634D" w:rsidRDefault="00C76A11" w:rsidP="009B634D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Витрати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51ED16F" w14:textId="77777777" w:rsidR="00CC3F05" w:rsidRPr="009B634D" w:rsidRDefault="00CC3F05" w:rsidP="009B634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3F05" w:rsidRPr="009B634D" w14:paraId="1655BDE0" w14:textId="77777777" w:rsidTr="009B634D">
        <w:tc>
          <w:tcPr>
            <w:tcW w:w="2122" w:type="dxa"/>
            <w:shd w:val="clear" w:color="auto" w:fill="auto"/>
          </w:tcPr>
          <w:p w14:paraId="470CC052" w14:textId="77777777" w:rsidR="00CC3F05" w:rsidRPr="009B634D" w:rsidRDefault="00C76A11" w:rsidP="00FF02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Альтернатива 1</w:t>
            </w:r>
          </w:p>
        </w:tc>
        <w:tc>
          <w:tcPr>
            <w:tcW w:w="4932" w:type="dxa"/>
            <w:shd w:val="clear" w:color="auto" w:fill="auto"/>
          </w:tcPr>
          <w:p w14:paraId="4F3AEC8B" w14:textId="6FFFC578" w:rsidR="00CC3F05" w:rsidRPr="009B634D" w:rsidRDefault="005406DC" w:rsidP="009B634D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Відсутні. Не призведе до досягнення поставлених цілей.</w:t>
            </w:r>
          </w:p>
        </w:tc>
        <w:tc>
          <w:tcPr>
            <w:tcW w:w="2835" w:type="dxa"/>
            <w:tcBorders>
              <w:right w:val="single" w:sz="4" w:space="0" w:color="000000"/>
            </w:tcBorders>
            <w:shd w:val="clear" w:color="auto" w:fill="auto"/>
          </w:tcPr>
          <w:p w14:paraId="229179C6" w14:textId="77777777" w:rsidR="00CC3F05" w:rsidRPr="009B634D" w:rsidRDefault="00C76A11" w:rsidP="009B634D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Відсутні.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1F95C46" w14:textId="77777777" w:rsidR="00CC3F05" w:rsidRPr="009B634D" w:rsidRDefault="00CC3F05" w:rsidP="009B63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F05" w:rsidRPr="009B634D" w14:paraId="5D2A6F10" w14:textId="77777777" w:rsidTr="009B634D">
        <w:tc>
          <w:tcPr>
            <w:tcW w:w="2122" w:type="dxa"/>
            <w:shd w:val="clear" w:color="auto" w:fill="auto"/>
          </w:tcPr>
          <w:p w14:paraId="7262090C" w14:textId="77777777" w:rsidR="00CC3F05" w:rsidRPr="009B634D" w:rsidRDefault="00C76A11" w:rsidP="00FF02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Альтернатива 2</w:t>
            </w:r>
          </w:p>
        </w:tc>
        <w:tc>
          <w:tcPr>
            <w:tcW w:w="4932" w:type="dxa"/>
            <w:shd w:val="clear" w:color="auto" w:fill="auto"/>
          </w:tcPr>
          <w:p w14:paraId="360206EC" w14:textId="59284F28" w:rsidR="00CC3F05" w:rsidRPr="009B634D" w:rsidRDefault="005406DC" w:rsidP="009B63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Високі. </w:t>
            </w:r>
            <w:r w:rsidRPr="009B6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Усунення правових прогалин та колізій. </w:t>
            </w: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Затвердження чітких та прозорих норми державного регулювання (планування) доступу до професій на посади у аптечних закладах.  </w:t>
            </w:r>
            <w:r w:rsidRPr="009B6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Підвищення якості фармацевтичних послуг, у тому числі у сільських населених пунктах.</w:t>
            </w:r>
          </w:p>
        </w:tc>
        <w:tc>
          <w:tcPr>
            <w:tcW w:w="2835" w:type="dxa"/>
            <w:tcBorders>
              <w:right w:val="single" w:sz="4" w:space="0" w:color="000000"/>
            </w:tcBorders>
            <w:shd w:val="clear" w:color="auto" w:fill="auto"/>
          </w:tcPr>
          <w:p w14:paraId="06D0656D" w14:textId="77777777" w:rsidR="00CC3F05" w:rsidRPr="009B634D" w:rsidRDefault="00C76A11" w:rsidP="009B634D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Відсутні.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3CFCA56" w14:textId="77777777" w:rsidR="00CC3F05" w:rsidRPr="009B634D" w:rsidRDefault="00CC3F05" w:rsidP="009B63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920082" w14:textId="77777777" w:rsidR="00CC3F05" w:rsidRPr="009B634D" w:rsidRDefault="00CC3F05" w:rsidP="009B63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F3B1F9" w14:textId="77777777" w:rsidR="00CC3F05" w:rsidRPr="009B634D" w:rsidRDefault="00CC3F05" w:rsidP="009B634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FF6C49" w14:textId="77777777" w:rsidR="00CC3F05" w:rsidRPr="009B634D" w:rsidRDefault="00C76A11" w:rsidP="009B634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34D">
        <w:rPr>
          <w:rFonts w:ascii="Times New Roman" w:eastAsia="Times New Roman" w:hAnsi="Times New Roman" w:cs="Times New Roman"/>
          <w:sz w:val="28"/>
          <w:szCs w:val="28"/>
        </w:rPr>
        <w:t>2. Оцінка впливу на сферу інтересів громадян</w:t>
      </w:r>
    </w:p>
    <w:tbl>
      <w:tblPr>
        <w:tblStyle w:val="a8"/>
        <w:tblW w:w="111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6237"/>
        <w:gridCol w:w="1593"/>
        <w:gridCol w:w="1177"/>
      </w:tblGrid>
      <w:tr w:rsidR="00CC3F05" w:rsidRPr="009B634D" w14:paraId="407B14CD" w14:textId="77777777">
        <w:trPr>
          <w:gridAfter w:val="1"/>
          <w:wAfter w:w="1177" w:type="dxa"/>
        </w:trPr>
        <w:tc>
          <w:tcPr>
            <w:tcW w:w="2093" w:type="dxa"/>
            <w:shd w:val="clear" w:color="auto" w:fill="auto"/>
          </w:tcPr>
          <w:p w14:paraId="1BE9E34B" w14:textId="77777777" w:rsidR="00CC3F05" w:rsidRPr="009B634D" w:rsidRDefault="00C76A11" w:rsidP="009B634D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альтернативи</w:t>
            </w:r>
          </w:p>
        </w:tc>
        <w:tc>
          <w:tcPr>
            <w:tcW w:w="6237" w:type="dxa"/>
            <w:shd w:val="clear" w:color="auto" w:fill="auto"/>
          </w:tcPr>
          <w:p w14:paraId="76C1859E" w14:textId="77777777" w:rsidR="00CC3F05" w:rsidRPr="009B634D" w:rsidRDefault="00C76A11" w:rsidP="009B634D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Вигоди</w:t>
            </w:r>
          </w:p>
        </w:tc>
        <w:tc>
          <w:tcPr>
            <w:tcW w:w="1593" w:type="dxa"/>
            <w:shd w:val="clear" w:color="auto" w:fill="auto"/>
          </w:tcPr>
          <w:p w14:paraId="792FF947" w14:textId="77777777" w:rsidR="00CC3F05" w:rsidRPr="009B634D" w:rsidRDefault="00C76A11" w:rsidP="009B634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Витрати</w:t>
            </w:r>
          </w:p>
        </w:tc>
      </w:tr>
      <w:tr w:rsidR="00CC3F05" w:rsidRPr="009B634D" w14:paraId="635F836B" w14:textId="77777777">
        <w:trPr>
          <w:gridAfter w:val="1"/>
          <w:wAfter w:w="1177" w:type="dxa"/>
        </w:trPr>
        <w:tc>
          <w:tcPr>
            <w:tcW w:w="2093" w:type="dxa"/>
            <w:shd w:val="clear" w:color="auto" w:fill="auto"/>
          </w:tcPr>
          <w:p w14:paraId="4CD9C7A0" w14:textId="77777777" w:rsidR="00CC3F05" w:rsidRPr="009B634D" w:rsidRDefault="00C76A11" w:rsidP="00FF02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Альтернатива 1</w:t>
            </w:r>
          </w:p>
        </w:tc>
        <w:tc>
          <w:tcPr>
            <w:tcW w:w="6237" w:type="dxa"/>
            <w:shd w:val="clear" w:color="auto" w:fill="auto"/>
          </w:tcPr>
          <w:p w14:paraId="59CC2615" w14:textId="6DB43570" w:rsidR="00CC3F05" w:rsidRPr="009B634D" w:rsidRDefault="005406DC" w:rsidP="00FF02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Відсутні. Не призведе до досягнення поставлених цілей.</w:t>
            </w:r>
          </w:p>
        </w:tc>
        <w:tc>
          <w:tcPr>
            <w:tcW w:w="1593" w:type="dxa"/>
            <w:shd w:val="clear" w:color="auto" w:fill="auto"/>
          </w:tcPr>
          <w:p w14:paraId="07DDCF1F" w14:textId="77777777" w:rsidR="00CC3F05" w:rsidRPr="009B634D" w:rsidRDefault="00C76A11" w:rsidP="00FF02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Відсутні.</w:t>
            </w:r>
          </w:p>
        </w:tc>
      </w:tr>
      <w:tr w:rsidR="00CC3F05" w:rsidRPr="009B634D" w14:paraId="1A8E1C5D" w14:textId="77777777">
        <w:tc>
          <w:tcPr>
            <w:tcW w:w="2093" w:type="dxa"/>
            <w:shd w:val="clear" w:color="auto" w:fill="auto"/>
          </w:tcPr>
          <w:p w14:paraId="624191AF" w14:textId="77777777" w:rsidR="00CC3F05" w:rsidRPr="009B634D" w:rsidRDefault="00C76A11" w:rsidP="00FF02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Альтернатива 2</w:t>
            </w:r>
          </w:p>
        </w:tc>
        <w:tc>
          <w:tcPr>
            <w:tcW w:w="6237" w:type="dxa"/>
            <w:shd w:val="clear" w:color="auto" w:fill="auto"/>
          </w:tcPr>
          <w:p w14:paraId="087EE369" w14:textId="3572F510" w:rsidR="00CC3F05" w:rsidRPr="009B634D" w:rsidRDefault="005406DC" w:rsidP="009B634D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Підвищення доступності до отримання кваліфікованої фармацевтичної допомоги та необхідних лікарських засобів, виготовлених кваліфікованими кадрами,  в адміністративно-територіальних одиницях України, зокрема у сільських населених пунктах.</w:t>
            </w:r>
          </w:p>
        </w:tc>
        <w:tc>
          <w:tcPr>
            <w:tcW w:w="1593" w:type="dxa"/>
            <w:tcBorders>
              <w:right w:val="single" w:sz="4" w:space="0" w:color="000000"/>
            </w:tcBorders>
            <w:shd w:val="clear" w:color="auto" w:fill="auto"/>
          </w:tcPr>
          <w:p w14:paraId="06E6D7CA" w14:textId="77777777" w:rsidR="00CC3F05" w:rsidRPr="009B634D" w:rsidRDefault="00C76A11" w:rsidP="009B634D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Відсутні</w:t>
            </w:r>
          </w:p>
        </w:tc>
        <w:tc>
          <w:tcPr>
            <w:tcW w:w="117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F10D0A" w14:textId="77777777" w:rsidR="00CC3F05" w:rsidRPr="009B634D" w:rsidRDefault="00CC3F05" w:rsidP="009B634D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8E2EC8F" w14:textId="77777777" w:rsidR="00CC3F05" w:rsidRPr="009B634D" w:rsidRDefault="00CC3F05" w:rsidP="009B634D">
      <w:pPr>
        <w:tabs>
          <w:tab w:val="left" w:pos="851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1499FC73" w14:textId="77777777" w:rsidR="00CC3F05" w:rsidRPr="009B634D" w:rsidRDefault="00C76A11" w:rsidP="009B634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34D">
        <w:rPr>
          <w:rFonts w:ascii="Times New Roman" w:eastAsia="Times New Roman" w:hAnsi="Times New Roman" w:cs="Times New Roman"/>
          <w:color w:val="000000"/>
          <w:sz w:val="28"/>
          <w:szCs w:val="28"/>
        </w:rPr>
        <w:t>3. Оцінка впливу на сферу інтересів суб’єктів господарювання</w:t>
      </w:r>
    </w:p>
    <w:tbl>
      <w:tblPr>
        <w:tblStyle w:val="a9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3"/>
        <w:gridCol w:w="1523"/>
        <w:gridCol w:w="1532"/>
        <w:gridCol w:w="1377"/>
        <w:gridCol w:w="1386"/>
        <w:gridCol w:w="1932"/>
      </w:tblGrid>
      <w:tr w:rsidR="00CC3F05" w:rsidRPr="009B634D" w14:paraId="1B5E77E2" w14:textId="77777777">
        <w:tc>
          <w:tcPr>
            <w:tcW w:w="2173" w:type="dxa"/>
            <w:shd w:val="clear" w:color="auto" w:fill="auto"/>
          </w:tcPr>
          <w:p w14:paraId="72767ABA" w14:textId="77777777" w:rsidR="00CC3F05" w:rsidRPr="009B634D" w:rsidRDefault="00C76A11" w:rsidP="00FF02F8">
            <w:pPr>
              <w:tabs>
                <w:tab w:val="left" w:pos="180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>Показник</w:t>
            </w:r>
          </w:p>
        </w:tc>
        <w:tc>
          <w:tcPr>
            <w:tcW w:w="1523" w:type="dxa"/>
            <w:shd w:val="clear" w:color="auto" w:fill="auto"/>
          </w:tcPr>
          <w:p w14:paraId="464F1F31" w14:textId="77777777" w:rsidR="00CC3F05" w:rsidRPr="009B634D" w:rsidRDefault="00C76A11" w:rsidP="00FF02F8">
            <w:pPr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Великі</w:t>
            </w:r>
          </w:p>
        </w:tc>
        <w:tc>
          <w:tcPr>
            <w:tcW w:w="1532" w:type="dxa"/>
            <w:shd w:val="clear" w:color="auto" w:fill="auto"/>
          </w:tcPr>
          <w:p w14:paraId="646C6ABF" w14:textId="77777777" w:rsidR="00CC3F05" w:rsidRPr="009B634D" w:rsidRDefault="00C76A11" w:rsidP="00FF02F8">
            <w:pPr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Середні</w:t>
            </w:r>
          </w:p>
        </w:tc>
        <w:tc>
          <w:tcPr>
            <w:tcW w:w="1377" w:type="dxa"/>
            <w:shd w:val="clear" w:color="auto" w:fill="auto"/>
          </w:tcPr>
          <w:p w14:paraId="2E481A53" w14:textId="77777777" w:rsidR="00CC3F05" w:rsidRPr="009B634D" w:rsidRDefault="00C76A11" w:rsidP="00FF02F8">
            <w:pPr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Малі</w:t>
            </w:r>
          </w:p>
        </w:tc>
        <w:tc>
          <w:tcPr>
            <w:tcW w:w="1386" w:type="dxa"/>
            <w:shd w:val="clear" w:color="auto" w:fill="auto"/>
          </w:tcPr>
          <w:p w14:paraId="1F269C13" w14:textId="77777777" w:rsidR="00CC3F05" w:rsidRPr="009B634D" w:rsidRDefault="00C76A11" w:rsidP="00FF02F8">
            <w:pPr>
              <w:tabs>
                <w:tab w:val="left" w:pos="18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Мікро</w:t>
            </w:r>
          </w:p>
        </w:tc>
        <w:tc>
          <w:tcPr>
            <w:tcW w:w="1932" w:type="dxa"/>
            <w:shd w:val="clear" w:color="auto" w:fill="auto"/>
          </w:tcPr>
          <w:p w14:paraId="273E480A" w14:textId="77777777" w:rsidR="00CC3F05" w:rsidRPr="009B634D" w:rsidRDefault="00C76A11" w:rsidP="00FF02F8">
            <w:pPr>
              <w:tabs>
                <w:tab w:val="left" w:pos="180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Разом</w:t>
            </w:r>
          </w:p>
        </w:tc>
      </w:tr>
      <w:tr w:rsidR="00CC3F05" w:rsidRPr="009B634D" w14:paraId="4697F6F0" w14:textId="77777777">
        <w:tc>
          <w:tcPr>
            <w:tcW w:w="2173" w:type="dxa"/>
            <w:shd w:val="clear" w:color="auto" w:fill="auto"/>
          </w:tcPr>
          <w:p w14:paraId="1229E130" w14:textId="77777777" w:rsidR="00CC3F05" w:rsidRPr="009B634D" w:rsidRDefault="00C76A11" w:rsidP="00FF02F8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 суб’єктів господарювання, що підпадають під дію регулювання, (одиниць)</w:t>
            </w:r>
          </w:p>
        </w:tc>
        <w:tc>
          <w:tcPr>
            <w:tcW w:w="1523" w:type="dxa"/>
            <w:shd w:val="clear" w:color="auto" w:fill="auto"/>
          </w:tcPr>
          <w:p w14:paraId="6BB097DF" w14:textId="77777777" w:rsidR="00CC3F05" w:rsidRPr="009B634D" w:rsidRDefault="00C76A11" w:rsidP="00FF02F8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32" w:type="dxa"/>
            <w:shd w:val="clear" w:color="auto" w:fill="auto"/>
          </w:tcPr>
          <w:p w14:paraId="70BF3102" w14:textId="77777777" w:rsidR="00CC3F05" w:rsidRPr="009B634D" w:rsidRDefault="00C76A11" w:rsidP="00FF02F8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1377" w:type="dxa"/>
            <w:shd w:val="clear" w:color="auto" w:fill="auto"/>
          </w:tcPr>
          <w:p w14:paraId="71C80240" w14:textId="77777777" w:rsidR="00CC3F05" w:rsidRPr="009B634D" w:rsidRDefault="00C76A11" w:rsidP="00FF02F8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2297</w:t>
            </w:r>
          </w:p>
        </w:tc>
        <w:tc>
          <w:tcPr>
            <w:tcW w:w="1386" w:type="dxa"/>
            <w:shd w:val="clear" w:color="auto" w:fill="auto"/>
          </w:tcPr>
          <w:p w14:paraId="210B3A14" w14:textId="77777777" w:rsidR="00CC3F05" w:rsidRPr="009B634D" w:rsidRDefault="00C76A11" w:rsidP="00FF02F8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3718</w:t>
            </w:r>
          </w:p>
        </w:tc>
        <w:tc>
          <w:tcPr>
            <w:tcW w:w="1932" w:type="dxa"/>
            <w:shd w:val="clear" w:color="auto" w:fill="auto"/>
          </w:tcPr>
          <w:p w14:paraId="46BFC93D" w14:textId="77777777" w:rsidR="00CC3F05" w:rsidRPr="009B634D" w:rsidRDefault="00C76A11" w:rsidP="00FF02F8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6765</w:t>
            </w:r>
          </w:p>
        </w:tc>
      </w:tr>
      <w:tr w:rsidR="00CC3F05" w:rsidRPr="009B634D" w14:paraId="5879ABC9" w14:textId="77777777">
        <w:tc>
          <w:tcPr>
            <w:tcW w:w="2173" w:type="dxa"/>
            <w:shd w:val="clear" w:color="auto" w:fill="auto"/>
          </w:tcPr>
          <w:p w14:paraId="4EE91D7E" w14:textId="77777777" w:rsidR="00CC3F05" w:rsidRPr="009B634D" w:rsidRDefault="00C76A11" w:rsidP="00FF02F8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Питома вага групи у загальній кількості, відсотків</w:t>
            </w:r>
          </w:p>
        </w:tc>
        <w:tc>
          <w:tcPr>
            <w:tcW w:w="1523" w:type="dxa"/>
            <w:shd w:val="clear" w:color="auto" w:fill="auto"/>
          </w:tcPr>
          <w:p w14:paraId="601D4F7A" w14:textId="77777777" w:rsidR="00CC3F05" w:rsidRPr="009B634D" w:rsidRDefault="00C76A11" w:rsidP="00FF02F8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2 %</w:t>
            </w:r>
          </w:p>
        </w:tc>
        <w:tc>
          <w:tcPr>
            <w:tcW w:w="1532" w:type="dxa"/>
            <w:shd w:val="clear" w:color="auto" w:fill="auto"/>
          </w:tcPr>
          <w:p w14:paraId="5F7ED9F4" w14:textId="77777777" w:rsidR="00CC3F05" w:rsidRPr="009B634D" w:rsidRDefault="00C76A11" w:rsidP="00FF02F8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9 %</w:t>
            </w:r>
          </w:p>
        </w:tc>
        <w:tc>
          <w:tcPr>
            <w:tcW w:w="1377" w:type="dxa"/>
            <w:shd w:val="clear" w:color="auto" w:fill="auto"/>
          </w:tcPr>
          <w:p w14:paraId="207C4F4B" w14:textId="77777777" w:rsidR="00CC3F05" w:rsidRPr="009B634D" w:rsidRDefault="00C76A11" w:rsidP="00FF02F8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34 %</w:t>
            </w:r>
          </w:p>
        </w:tc>
        <w:tc>
          <w:tcPr>
            <w:tcW w:w="1386" w:type="dxa"/>
            <w:shd w:val="clear" w:color="auto" w:fill="auto"/>
          </w:tcPr>
          <w:p w14:paraId="5BFAA811" w14:textId="77777777" w:rsidR="00CC3F05" w:rsidRPr="009B634D" w:rsidRDefault="00C76A11" w:rsidP="00FF02F8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55 %</w:t>
            </w:r>
          </w:p>
        </w:tc>
        <w:tc>
          <w:tcPr>
            <w:tcW w:w="1932" w:type="dxa"/>
            <w:shd w:val="clear" w:color="auto" w:fill="auto"/>
          </w:tcPr>
          <w:p w14:paraId="3A0E7A61" w14:textId="77777777" w:rsidR="00CC3F05" w:rsidRPr="009B634D" w:rsidRDefault="00C76A11" w:rsidP="00FF02F8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100 %</w:t>
            </w:r>
          </w:p>
        </w:tc>
      </w:tr>
    </w:tbl>
    <w:p w14:paraId="4EC021F9" w14:textId="77777777" w:rsidR="00CC3F05" w:rsidRPr="009B634D" w:rsidRDefault="00C76A11" w:rsidP="009B634D">
      <w:pPr>
        <w:tabs>
          <w:tab w:val="left" w:pos="180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3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*</w:t>
      </w:r>
      <w:r w:rsidRPr="009B6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Загальна кількість суб’єктів господарювання, які є ліцензіатами, вказана згідно з ліцензійним реєстром, розміщеним на офіційному сайті </w:t>
      </w:r>
      <w:proofErr w:type="spellStart"/>
      <w:r w:rsidRPr="009B634D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Держлікслужби</w:t>
      </w:r>
      <w:proofErr w:type="spellEnd"/>
      <w:r w:rsidRPr="009B634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BE43323" w14:textId="77777777" w:rsidR="00CC3F05" w:rsidRPr="009B634D" w:rsidRDefault="00CC3F05" w:rsidP="009B634D">
      <w:pPr>
        <w:tabs>
          <w:tab w:val="left" w:pos="180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a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0"/>
        <w:gridCol w:w="4617"/>
        <w:gridCol w:w="3076"/>
      </w:tblGrid>
      <w:tr w:rsidR="00CC3F05" w:rsidRPr="009B634D" w14:paraId="182CE40C" w14:textId="77777777">
        <w:tc>
          <w:tcPr>
            <w:tcW w:w="2230" w:type="dxa"/>
            <w:shd w:val="clear" w:color="auto" w:fill="auto"/>
          </w:tcPr>
          <w:p w14:paraId="3C8A8BD9" w14:textId="77777777" w:rsidR="00CC3F05" w:rsidRPr="009B634D" w:rsidRDefault="00C76A11" w:rsidP="00FF02F8">
            <w:pPr>
              <w:widowControl w:val="0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альтернативи</w:t>
            </w:r>
          </w:p>
        </w:tc>
        <w:tc>
          <w:tcPr>
            <w:tcW w:w="4617" w:type="dxa"/>
            <w:shd w:val="clear" w:color="auto" w:fill="auto"/>
          </w:tcPr>
          <w:p w14:paraId="2A23DE46" w14:textId="77777777" w:rsidR="00CC3F05" w:rsidRPr="009B634D" w:rsidRDefault="00C76A11" w:rsidP="00FF02F8">
            <w:pPr>
              <w:widowControl w:val="0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Вигоди</w:t>
            </w:r>
          </w:p>
        </w:tc>
        <w:tc>
          <w:tcPr>
            <w:tcW w:w="3076" w:type="dxa"/>
            <w:shd w:val="clear" w:color="auto" w:fill="auto"/>
          </w:tcPr>
          <w:p w14:paraId="3D12E01F" w14:textId="77777777" w:rsidR="00CC3F05" w:rsidRPr="009B634D" w:rsidRDefault="00C76A11" w:rsidP="00FF02F8">
            <w:pPr>
              <w:widowControl w:val="0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Витрати</w:t>
            </w:r>
          </w:p>
        </w:tc>
      </w:tr>
      <w:tr w:rsidR="00CC3F05" w:rsidRPr="009B634D" w14:paraId="7E377E8A" w14:textId="77777777">
        <w:tc>
          <w:tcPr>
            <w:tcW w:w="2230" w:type="dxa"/>
            <w:tcBorders>
              <w:top w:val="single" w:sz="4" w:space="0" w:color="000000"/>
            </w:tcBorders>
            <w:shd w:val="clear" w:color="auto" w:fill="auto"/>
          </w:tcPr>
          <w:p w14:paraId="0D357196" w14:textId="77777777" w:rsidR="00CC3F05" w:rsidRPr="009B634D" w:rsidRDefault="00C76A11" w:rsidP="00FF02F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Альтернатива 1</w:t>
            </w:r>
          </w:p>
        </w:tc>
        <w:tc>
          <w:tcPr>
            <w:tcW w:w="4617" w:type="dxa"/>
            <w:tcBorders>
              <w:top w:val="single" w:sz="4" w:space="0" w:color="000000"/>
            </w:tcBorders>
            <w:shd w:val="clear" w:color="auto" w:fill="auto"/>
          </w:tcPr>
          <w:p w14:paraId="730D883C" w14:textId="77777777" w:rsidR="005406DC" w:rsidRPr="009B634D" w:rsidRDefault="005406DC" w:rsidP="009B634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Відсутні</w:t>
            </w:r>
          </w:p>
          <w:p w14:paraId="1AC6D7E7" w14:textId="501C8728" w:rsidR="00CC3F05" w:rsidRPr="009B634D" w:rsidRDefault="00CC3F05" w:rsidP="009B634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000000"/>
            </w:tcBorders>
            <w:shd w:val="clear" w:color="auto" w:fill="auto"/>
          </w:tcPr>
          <w:p w14:paraId="415B6DAC" w14:textId="451B09BE" w:rsidR="0049300E" w:rsidRPr="009B634D" w:rsidRDefault="0049300E" w:rsidP="009B634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Збитки пов’язані із</w:t>
            </w:r>
            <w:r w:rsid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ві</w:t>
            </w: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дсутністю</w:t>
            </w:r>
          </w:p>
          <w:p w14:paraId="6B8B26AA" w14:textId="12433F37" w:rsidR="0049300E" w:rsidRPr="009B634D" w:rsidRDefault="009B634D" w:rsidP="009B634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9300E"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чіткого і однозначного правового</w:t>
            </w:r>
          </w:p>
          <w:p w14:paraId="36F2668D" w14:textId="7D2F14F0" w:rsidR="00AA4C37" w:rsidRPr="009B634D" w:rsidRDefault="009B634D" w:rsidP="009B634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9300E"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регулювання у сфері доступу до професії осіб, які надають фармацевтичну допомогу та</w:t>
            </w:r>
            <w:r w:rsidR="00AA4C37"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правильним формуванням ліцензійних справ  суб’єктами (у тому числі потенційними) </w:t>
            </w:r>
            <w:r w:rsidR="00AA4C37"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господарської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A4C37"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діяльності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A4C37"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виробництва</w:t>
            </w:r>
          </w:p>
          <w:p w14:paraId="0C55107C" w14:textId="59ACEF5D" w:rsidR="00AA4C37" w:rsidRPr="009B634D" w:rsidRDefault="009B634D" w:rsidP="009B634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A4C37"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лікарських засобів,</w:t>
            </w:r>
          </w:p>
          <w:p w14:paraId="36660FAF" w14:textId="5A67B892" w:rsidR="00AA4C37" w:rsidRPr="009B634D" w:rsidRDefault="009B634D" w:rsidP="009B634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A4C37"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оптової та роздрібної</w:t>
            </w:r>
          </w:p>
          <w:p w14:paraId="04746D9E" w14:textId="5820A78F" w:rsidR="00AA4C37" w:rsidRPr="009B634D" w:rsidRDefault="009B634D" w:rsidP="009B634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A4C37"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торгівлі лікарськими</w:t>
            </w:r>
          </w:p>
          <w:p w14:paraId="019DECFE" w14:textId="77C8EFB7" w:rsidR="00AA4C37" w:rsidRPr="009B634D" w:rsidRDefault="009B634D" w:rsidP="009B634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A4C37"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засобами, імпорту</w:t>
            </w:r>
          </w:p>
          <w:p w14:paraId="22996E4B" w14:textId="72A1265B" w:rsidR="00AA4C37" w:rsidRPr="009B634D" w:rsidRDefault="009B634D" w:rsidP="009B634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A4C37"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лікарських засобів</w:t>
            </w:r>
          </w:p>
          <w:p w14:paraId="7328F88E" w14:textId="2B495A09" w:rsidR="00AA4C37" w:rsidRPr="009B634D" w:rsidRDefault="009B634D" w:rsidP="009B634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A4C37"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(крім активних</w:t>
            </w:r>
          </w:p>
          <w:p w14:paraId="05D4459B" w14:textId="380FD12E" w:rsidR="00AA4C37" w:rsidRPr="009B634D" w:rsidRDefault="009B634D" w:rsidP="009B634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A4C37"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фармацевтичних</w:t>
            </w:r>
          </w:p>
          <w:p w14:paraId="54573707" w14:textId="51D8973E" w:rsidR="0049300E" w:rsidRPr="009B634D" w:rsidRDefault="009B634D" w:rsidP="009B634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A4C37"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інгредієнтів)</w:t>
            </w:r>
          </w:p>
          <w:p w14:paraId="3F8220F7" w14:textId="4BA83A66" w:rsidR="00CC3F05" w:rsidRPr="009B634D" w:rsidRDefault="00CC3F05" w:rsidP="009B634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3F05" w:rsidRPr="009B634D" w14:paraId="12AC2329" w14:textId="77777777">
        <w:tc>
          <w:tcPr>
            <w:tcW w:w="2230" w:type="dxa"/>
            <w:shd w:val="clear" w:color="auto" w:fill="auto"/>
          </w:tcPr>
          <w:p w14:paraId="31FE7A08" w14:textId="77777777" w:rsidR="00CC3F05" w:rsidRPr="009B634D" w:rsidRDefault="00C76A11" w:rsidP="00FF02F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Альтернатива 2</w:t>
            </w:r>
          </w:p>
        </w:tc>
        <w:tc>
          <w:tcPr>
            <w:tcW w:w="4617" w:type="dxa"/>
            <w:shd w:val="clear" w:color="auto" w:fill="auto"/>
          </w:tcPr>
          <w:p w14:paraId="62BB7515" w14:textId="3F74EE33" w:rsidR="005406DC" w:rsidRPr="009B634D" w:rsidRDefault="005406DC" w:rsidP="009B634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Чіткі кваліфікаційні вимоги до кадрів, які надають фармацевтичні послуги. </w:t>
            </w:r>
            <w:r w:rsidR="0049300E" w:rsidRPr="009B6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Підвищення конкурентоспроможності аптечного закладу за рахунок м</w:t>
            </w:r>
            <w:r w:rsidRPr="009B6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ожлив</w:t>
            </w:r>
            <w:r w:rsidR="0049300E" w:rsidRPr="009B6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ості</w:t>
            </w:r>
            <w:r w:rsidRPr="009B6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розширення доступу до ринку для кваліфікованих працівників.</w:t>
            </w:r>
          </w:p>
          <w:p w14:paraId="2995B1F6" w14:textId="77777777" w:rsidR="00CC3F05" w:rsidRPr="009B634D" w:rsidRDefault="00CC3F05" w:rsidP="009B634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  <w:shd w:val="clear" w:color="auto" w:fill="auto"/>
          </w:tcPr>
          <w:p w14:paraId="63D7778C" w14:textId="77777777" w:rsidR="00CC3F05" w:rsidRPr="009B634D" w:rsidRDefault="0049300E" w:rsidP="009B634D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Можливі витрати на </w:t>
            </w:r>
            <w:r w:rsidR="00730CF6" w:rsidRPr="009B6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ознайомлення </w:t>
            </w:r>
            <w:r w:rsidR="00797283" w:rsidRPr="009B6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 </w:t>
            </w:r>
            <w:r w:rsidR="00730CF6" w:rsidRPr="009B6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новими вимогами регулювання</w:t>
            </w:r>
            <w:r w:rsidR="00797283" w:rsidRPr="009B6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30CF6" w:rsidRPr="009B6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 </w:t>
            </w:r>
            <w:r w:rsidRPr="009B6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забезпечення додаткової підготовки працівників</w:t>
            </w:r>
            <w:r w:rsidR="00AA4C37" w:rsidRPr="009B6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фармації</w:t>
            </w:r>
            <w:r w:rsidRPr="009B6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(у разі необхідності</w:t>
            </w:r>
            <w:r w:rsidR="00AA4C37" w:rsidRPr="009B6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оплати циклів тематичного удосконалення</w:t>
            </w:r>
            <w:r w:rsidRPr="009B6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14:paraId="6ED8EA94" w14:textId="5EDD1E12" w:rsidR="002F0B4B" w:rsidRPr="009B634D" w:rsidRDefault="002F0B4B" w:rsidP="009B634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847391" w14:textId="62593C47" w:rsidR="000533A6" w:rsidRPr="009B634D" w:rsidRDefault="00F310D9" w:rsidP="009B634D">
      <w:pPr>
        <w:ind w:firstLine="709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9B634D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proofErr w:type="spellStart"/>
      <w:r w:rsidR="000533A6" w:rsidRPr="009B634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ідповідно</w:t>
      </w:r>
      <w:proofErr w:type="spellEnd"/>
      <w:r w:rsidR="000533A6" w:rsidRPr="009B634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до держбюджету на 2025 рік, протягом 2025 року розмір оплати праці за годину становитиме</w:t>
      </w:r>
      <w:r w:rsidR="000533A6" w:rsidRPr="009B634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 xml:space="preserve"> </w:t>
      </w:r>
      <w:r w:rsidR="000533A6" w:rsidRPr="009B634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- </w:t>
      </w:r>
      <w:r w:rsidR="000533A6" w:rsidRPr="009B634D">
        <w:rPr>
          <w:rFonts w:ascii="Times New Roman" w:hAnsi="Times New Roman" w:cs="Times New Roman"/>
          <w:color w:val="040C28"/>
          <w:sz w:val="28"/>
          <w:szCs w:val="28"/>
        </w:rPr>
        <w:t>48 грн</w:t>
      </w:r>
      <w:r w:rsidR="000533A6" w:rsidRPr="009B634D">
        <w:rPr>
          <w:rFonts w:ascii="Times New Roman" w:hAnsi="Times New Roman" w:cs="Times New Roman"/>
          <w:color w:val="1F1F1F"/>
          <w:sz w:val="28"/>
          <w:szCs w:val="28"/>
        </w:rPr>
        <w:t>;</w:t>
      </w:r>
    </w:p>
    <w:p w14:paraId="4D3A34F9" w14:textId="0B9295EF" w:rsidR="000533A6" w:rsidRPr="009B634D" w:rsidRDefault="000533A6" w:rsidP="009B634D">
      <w:pPr>
        <w:ind w:firstLine="709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9B634D">
        <w:rPr>
          <w:rFonts w:ascii="Times New Roman" w:hAnsi="Times New Roman" w:cs="Times New Roman"/>
          <w:color w:val="000000"/>
          <w:sz w:val="28"/>
          <w:szCs w:val="28"/>
        </w:rPr>
        <w:t>Витрати на ознайомлення з новими вимогами регулювання</w:t>
      </w:r>
      <w:r w:rsidR="001D7C61" w:rsidRPr="009B634D">
        <w:rPr>
          <w:rFonts w:ascii="Times New Roman" w:hAnsi="Times New Roman" w:cs="Times New Roman"/>
          <w:color w:val="000000"/>
          <w:sz w:val="28"/>
          <w:szCs w:val="28"/>
        </w:rPr>
        <w:t xml:space="preserve">, приведенням кадрової документації до </w:t>
      </w:r>
      <w:proofErr w:type="spellStart"/>
      <w:r w:rsidR="001D7C61" w:rsidRPr="009B634D">
        <w:rPr>
          <w:rFonts w:ascii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="001D7C61" w:rsidRPr="009B634D">
        <w:rPr>
          <w:rFonts w:ascii="Times New Roman" w:hAnsi="Times New Roman" w:cs="Times New Roman"/>
          <w:color w:val="000000"/>
          <w:sz w:val="28"/>
          <w:szCs w:val="28"/>
        </w:rPr>
        <w:t xml:space="preserve"> змін, формування звітної інформації</w:t>
      </w:r>
      <w:r w:rsidRPr="009B634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C2605A" w:rsidRPr="009B634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2605A" w:rsidRPr="009B634D">
        <w:rPr>
          <w:rFonts w:ascii="Times New Roman" w:eastAsia="Times New Roman" w:hAnsi="Times New Roman" w:cs="Times New Roman"/>
          <w:sz w:val="28"/>
          <w:szCs w:val="28"/>
        </w:rPr>
        <w:t xml:space="preserve">8 год </w:t>
      </w:r>
      <w:r w:rsidR="00F659FE" w:rsidRPr="009B634D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="00C2605A" w:rsidRPr="009B634D">
        <w:rPr>
          <w:rFonts w:ascii="Times New Roman" w:eastAsia="Times New Roman" w:hAnsi="Times New Roman" w:cs="Times New Roman"/>
          <w:sz w:val="28"/>
          <w:szCs w:val="28"/>
        </w:rPr>
        <w:t>48.00 грн)</w:t>
      </w:r>
      <w:r w:rsidR="00F659FE" w:rsidRPr="009B634D">
        <w:rPr>
          <w:rFonts w:ascii="Times New Roman" w:eastAsia="Times New Roman" w:hAnsi="Times New Roman" w:cs="Times New Roman"/>
          <w:sz w:val="28"/>
          <w:szCs w:val="28"/>
        </w:rPr>
        <w:t>х</w:t>
      </w:r>
      <w:r w:rsidR="00C2605A" w:rsidRPr="009B6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634D">
        <w:rPr>
          <w:rFonts w:ascii="Times New Roman" w:eastAsia="Times New Roman" w:hAnsi="Times New Roman" w:cs="Times New Roman"/>
          <w:sz w:val="28"/>
          <w:szCs w:val="28"/>
        </w:rPr>
        <w:t>6765</w:t>
      </w:r>
      <w:r w:rsidR="00C2605A" w:rsidRPr="009B634D">
        <w:rPr>
          <w:rFonts w:ascii="Times New Roman" w:eastAsia="Times New Roman" w:hAnsi="Times New Roman" w:cs="Times New Roman"/>
          <w:sz w:val="28"/>
          <w:szCs w:val="28"/>
        </w:rPr>
        <w:t xml:space="preserve"> суб’єктів господарювання </w:t>
      </w:r>
      <w:r w:rsidRPr="009B634D">
        <w:rPr>
          <w:rFonts w:ascii="Times New Roman" w:eastAsia="Times New Roman" w:hAnsi="Times New Roman" w:cs="Times New Roman"/>
          <w:sz w:val="28"/>
          <w:szCs w:val="28"/>
        </w:rPr>
        <w:t>=</w:t>
      </w:r>
      <w:r w:rsidR="00790E9A" w:rsidRPr="009B634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634D">
        <w:rPr>
          <w:rFonts w:ascii="Times New Roman" w:eastAsia="Times New Roman" w:hAnsi="Times New Roman" w:cs="Times New Roman"/>
          <w:sz w:val="28"/>
          <w:szCs w:val="28"/>
        </w:rPr>
        <w:t xml:space="preserve">2 597 760 грн для всіх </w:t>
      </w:r>
      <w:r w:rsidR="00C2605A" w:rsidRPr="009B634D">
        <w:rPr>
          <w:rFonts w:ascii="Times New Roman" w:eastAsia="Times New Roman" w:hAnsi="Times New Roman" w:cs="Times New Roman"/>
          <w:sz w:val="28"/>
          <w:szCs w:val="28"/>
        </w:rPr>
        <w:t>суб’єктів</w:t>
      </w:r>
      <w:r w:rsidRPr="009B634D">
        <w:rPr>
          <w:rFonts w:ascii="Times New Roman" w:eastAsia="Times New Roman" w:hAnsi="Times New Roman" w:cs="Times New Roman"/>
          <w:sz w:val="28"/>
          <w:szCs w:val="28"/>
        </w:rPr>
        <w:t xml:space="preserve"> господарювання </w:t>
      </w:r>
    </w:p>
    <w:p w14:paraId="5933F3A9" w14:textId="77777777" w:rsidR="00F659FE" w:rsidRPr="009B634D" w:rsidRDefault="00275C3F" w:rsidP="009B634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34D">
        <w:rPr>
          <w:rFonts w:ascii="Times New Roman" w:hAnsi="Times New Roman" w:cs="Times New Roman"/>
          <w:color w:val="1F1F1F"/>
          <w:sz w:val="28"/>
          <w:szCs w:val="28"/>
        </w:rPr>
        <w:t xml:space="preserve">Згідно з наказом МОЗ </w:t>
      </w:r>
      <w:r w:rsidR="007F59F4" w:rsidRPr="009B634D">
        <w:rPr>
          <w:rFonts w:ascii="Times New Roman" w:eastAsia="Times New Roman" w:hAnsi="Times New Roman" w:cs="Times New Roman"/>
          <w:color w:val="333333"/>
          <w:sz w:val="28"/>
          <w:szCs w:val="28"/>
        </w:rPr>
        <w:t>України</w:t>
      </w:r>
      <w:r w:rsidR="007F59F4" w:rsidRPr="009B634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7F59F4" w:rsidRPr="009B634D">
        <w:rPr>
          <w:rFonts w:ascii="Times New Roman" w:eastAsia="Times New Roman" w:hAnsi="Times New Roman" w:cs="Times New Roman"/>
          <w:color w:val="333333"/>
          <w:sz w:val="28"/>
          <w:szCs w:val="28"/>
        </w:rPr>
        <w:t>від 25 липня 2023 року № 1347, зареєстрованого в Міністерстві юстиції України 10 серпня 2023 р.</w:t>
      </w:r>
      <w:r w:rsidR="007F59F4" w:rsidRPr="009B634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7F59F4" w:rsidRPr="009B634D">
        <w:rPr>
          <w:rFonts w:ascii="Times New Roman" w:eastAsia="Times New Roman" w:hAnsi="Times New Roman" w:cs="Times New Roman"/>
          <w:color w:val="333333"/>
          <w:sz w:val="28"/>
          <w:szCs w:val="28"/>
        </w:rPr>
        <w:t>за № 1362/40418</w:t>
      </w:r>
      <w:r w:rsidR="00F659FE" w:rsidRPr="009B634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F901F2A" w14:textId="3917926E" w:rsidR="000533A6" w:rsidRPr="009B634D" w:rsidRDefault="00F659FE" w:rsidP="009B634D">
      <w:pPr>
        <w:ind w:firstLine="709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9B634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75C3F" w:rsidRPr="009B634D">
        <w:rPr>
          <w:rFonts w:ascii="Times New Roman" w:hAnsi="Times New Roman" w:cs="Times New Roman"/>
          <w:color w:val="1F1F1F"/>
          <w:sz w:val="28"/>
          <w:szCs w:val="28"/>
        </w:rPr>
        <w:t xml:space="preserve">ередня тривалість циклів тематичного удосконалення </w:t>
      </w:r>
      <w:r w:rsidR="007F59F4" w:rsidRPr="009B634D">
        <w:rPr>
          <w:rFonts w:ascii="Times New Roman" w:hAnsi="Times New Roman" w:cs="Times New Roman"/>
          <w:color w:val="1F1F1F"/>
          <w:sz w:val="28"/>
          <w:szCs w:val="28"/>
        </w:rPr>
        <w:t xml:space="preserve">становить 1-2 тижні. Середня вартість </w:t>
      </w:r>
      <w:r w:rsidR="00350BA2" w:rsidRPr="009B634D">
        <w:rPr>
          <w:rFonts w:ascii="Times New Roman" w:hAnsi="Times New Roman" w:cs="Times New Roman"/>
          <w:color w:val="1F1F1F"/>
          <w:sz w:val="28"/>
          <w:szCs w:val="28"/>
        </w:rPr>
        <w:t xml:space="preserve">одного циклу/особу </w:t>
      </w:r>
      <w:r w:rsidR="007F59F4" w:rsidRPr="009B634D">
        <w:rPr>
          <w:rFonts w:ascii="Times New Roman" w:hAnsi="Times New Roman" w:cs="Times New Roman"/>
          <w:color w:val="1F1F1F"/>
          <w:sz w:val="28"/>
          <w:szCs w:val="28"/>
        </w:rPr>
        <w:t xml:space="preserve"> - </w:t>
      </w:r>
      <w:r w:rsidR="00350BA2" w:rsidRPr="009B634D">
        <w:rPr>
          <w:rFonts w:ascii="Times New Roman" w:hAnsi="Times New Roman" w:cs="Times New Roman"/>
          <w:color w:val="1F1F1F"/>
          <w:sz w:val="28"/>
          <w:szCs w:val="28"/>
        </w:rPr>
        <w:t>2000 грн.</w:t>
      </w:r>
    </w:p>
    <w:p w14:paraId="2ED8E440" w14:textId="7B1074DC" w:rsidR="002F0B4B" w:rsidRPr="009B634D" w:rsidRDefault="00F310D9" w:rsidP="009B634D">
      <w:pPr>
        <w:ind w:firstLine="709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9B634D">
        <w:rPr>
          <w:rFonts w:ascii="Times New Roman" w:hAnsi="Times New Roman" w:cs="Times New Roman"/>
          <w:color w:val="1F1F1F"/>
          <w:sz w:val="28"/>
          <w:szCs w:val="28"/>
        </w:rPr>
        <w:t xml:space="preserve">Середня кількість працівників (фармацевтів, інтернів), для яких </w:t>
      </w:r>
      <w:r w:rsidR="00F659FE" w:rsidRPr="009B634D">
        <w:rPr>
          <w:rFonts w:ascii="Times New Roman" w:hAnsi="Times New Roman" w:cs="Times New Roman"/>
          <w:color w:val="1F1F1F"/>
          <w:sz w:val="28"/>
          <w:szCs w:val="28"/>
        </w:rPr>
        <w:t xml:space="preserve">суб’єкти господарювання оплачуватимуть  </w:t>
      </w:r>
      <w:r w:rsidR="002F0B4B" w:rsidRPr="009B634D">
        <w:rPr>
          <w:rFonts w:ascii="Times New Roman" w:hAnsi="Times New Roman" w:cs="Times New Roman"/>
          <w:color w:val="1F1F1F"/>
          <w:sz w:val="28"/>
          <w:szCs w:val="28"/>
        </w:rPr>
        <w:t>цикли тематичного  удосконалення</w:t>
      </w:r>
      <w:r w:rsidRPr="009B634D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r w:rsidR="009A2396" w:rsidRPr="009B634D">
        <w:rPr>
          <w:rFonts w:ascii="Times New Roman" w:hAnsi="Times New Roman" w:cs="Times New Roman"/>
          <w:color w:val="1F1F1F"/>
          <w:sz w:val="28"/>
          <w:szCs w:val="28"/>
        </w:rPr>
        <w:t>в рік</w:t>
      </w:r>
      <w:r w:rsidR="002F0B4B" w:rsidRPr="009B634D">
        <w:rPr>
          <w:rFonts w:ascii="Times New Roman" w:hAnsi="Times New Roman" w:cs="Times New Roman"/>
          <w:color w:val="1F1F1F"/>
          <w:sz w:val="28"/>
          <w:szCs w:val="28"/>
        </w:rPr>
        <w:t xml:space="preserve">: </w:t>
      </w:r>
      <w:r w:rsidR="00F659FE" w:rsidRPr="009B634D">
        <w:rPr>
          <w:rFonts w:ascii="Times New Roman" w:hAnsi="Times New Roman" w:cs="Times New Roman"/>
          <w:color w:val="1F1F1F"/>
          <w:sz w:val="28"/>
          <w:szCs w:val="28"/>
        </w:rPr>
        <w:t xml:space="preserve">у великих підприємствах </w:t>
      </w:r>
      <w:r w:rsidR="002F0B4B" w:rsidRPr="009B634D">
        <w:rPr>
          <w:rFonts w:ascii="Times New Roman" w:hAnsi="Times New Roman" w:cs="Times New Roman"/>
          <w:color w:val="1F1F1F"/>
          <w:sz w:val="28"/>
          <w:szCs w:val="28"/>
        </w:rPr>
        <w:t xml:space="preserve">для </w:t>
      </w:r>
      <w:r w:rsidR="00F659FE" w:rsidRPr="009B634D">
        <w:rPr>
          <w:rFonts w:ascii="Times New Roman" w:hAnsi="Times New Roman" w:cs="Times New Roman"/>
          <w:color w:val="1F1F1F"/>
          <w:sz w:val="28"/>
          <w:szCs w:val="28"/>
        </w:rPr>
        <w:t>10 осіб, середніх- 5 осіб; малих- 2 особи; мікро – 1 особ</w:t>
      </w:r>
      <w:r w:rsidR="002F0B4B" w:rsidRPr="009B634D">
        <w:rPr>
          <w:rFonts w:ascii="Times New Roman" w:hAnsi="Times New Roman" w:cs="Times New Roman"/>
          <w:color w:val="1F1F1F"/>
          <w:sz w:val="28"/>
          <w:szCs w:val="28"/>
        </w:rPr>
        <w:t>и</w:t>
      </w:r>
      <w:r w:rsidR="00F659FE" w:rsidRPr="009B634D">
        <w:rPr>
          <w:rFonts w:ascii="Times New Roman" w:hAnsi="Times New Roman" w:cs="Times New Roman"/>
          <w:color w:val="1F1F1F"/>
          <w:sz w:val="28"/>
          <w:szCs w:val="28"/>
        </w:rPr>
        <w:t xml:space="preserve">.  </w:t>
      </w:r>
    </w:p>
    <w:p w14:paraId="4160209F" w14:textId="5458C1D0" w:rsidR="00790E9A" w:rsidRPr="009B634D" w:rsidRDefault="007F4F67" w:rsidP="009B634D">
      <w:pPr>
        <w:ind w:firstLine="709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9B634D">
        <w:rPr>
          <w:rFonts w:ascii="Times New Roman" w:hAnsi="Times New Roman" w:cs="Times New Roman"/>
          <w:color w:val="1F1F1F"/>
          <w:sz w:val="28"/>
          <w:szCs w:val="28"/>
        </w:rPr>
        <w:t xml:space="preserve">Вартість циклу ТУ для великих підприємств = </w:t>
      </w:r>
      <w:r w:rsidR="00790E9A" w:rsidRPr="009B634D">
        <w:rPr>
          <w:rFonts w:ascii="Times New Roman" w:hAnsi="Times New Roman" w:cs="Times New Roman"/>
          <w:color w:val="1F1F1F"/>
          <w:sz w:val="28"/>
          <w:szCs w:val="28"/>
        </w:rPr>
        <w:t>120</w:t>
      </w:r>
      <w:r w:rsidRPr="009B634D">
        <w:rPr>
          <w:rFonts w:ascii="Times New Roman" w:hAnsi="Times New Roman" w:cs="Times New Roman"/>
          <w:color w:val="1F1F1F"/>
          <w:sz w:val="28"/>
          <w:szCs w:val="28"/>
        </w:rPr>
        <w:t xml:space="preserve"> підприємств х 10 працівників  = 1200 працівників х 2000 грн = 2 400 000 грн;</w:t>
      </w:r>
    </w:p>
    <w:p w14:paraId="21BD441B" w14:textId="741DC3D8" w:rsidR="007F4F67" w:rsidRPr="009B634D" w:rsidRDefault="007F4F67" w:rsidP="009B634D">
      <w:pPr>
        <w:ind w:firstLine="709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9B634D">
        <w:rPr>
          <w:rFonts w:ascii="Times New Roman" w:hAnsi="Times New Roman" w:cs="Times New Roman"/>
          <w:color w:val="1F1F1F"/>
          <w:sz w:val="28"/>
          <w:szCs w:val="28"/>
        </w:rPr>
        <w:t>Вартість циклу ТУ для великих підприємств = 630 підприємств х 5 працівників = 3150 працівники х 2000 грн = 6 300 000 грн;</w:t>
      </w:r>
    </w:p>
    <w:p w14:paraId="6643706A" w14:textId="265AA974" w:rsidR="007F4F67" w:rsidRPr="009B634D" w:rsidRDefault="007F4F67" w:rsidP="009B634D">
      <w:pPr>
        <w:ind w:firstLine="709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9B634D">
        <w:rPr>
          <w:rFonts w:ascii="Times New Roman" w:hAnsi="Times New Roman" w:cs="Times New Roman"/>
          <w:color w:val="1F1F1F"/>
          <w:sz w:val="28"/>
          <w:szCs w:val="28"/>
        </w:rPr>
        <w:t xml:space="preserve">Вартість циклу ТУ для малих підприємств = 2297 підприємств х 2 працівника = 4 594 працівника х 2000 грн = 9 188 000 грн; </w:t>
      </w:r>
    </w:p>
    <w:p w14:paraId="39D19F6E" w14:textId="20E01A13" w:rsidR="007F4F67" w:rsidRPr="009B634D" w:rsidRDefault="007F4F67" w:rsidP="009B634D">
      <w:pPr>
        <w:ind w:firstLine="709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9B634D">
        <w:rPr>
          <w:rFonts w:ascii="Times New Roman" w:hAnsi="Times New Roman" w:cs="Times New Roman"/>
          <w:color w:val="1F1F1F"/>
          <w:sz w:val="28"/>
          <w:szCs w:val="28"/>
        </w:rPr>
        <w:t xml:space="preserve">Вартість циклу ТУ для мікро підприємств = 3718 підприємств х 1 працівника = 3718 працівника х 2000 грн = </w:t>
      </w:r>
      <w:r w:rsidR="00A46F0C" w:rsidRPr="009B634D">
        <w:rPr>
          <w:rFonts w:ascii="Times New Roman" w:hAnsi="Times New Roman" w:cs="Times New Roman"/>
          <w:color w:val="1F1F1F"/>
          <w:sz w:val="28"/>
          <w:szCs w:val="28"/>
        </w:rPr>
        <w:t>7 436 000</w:t>
      </w:r>
      <w:r w:rsidRPr="009B634D">
        <w:rPr>
          <w:rFonts w:ascii="Times New Roman" w:hAnsi="Times New Roman" w:cs="Times New Roman"/>
          <w:color w:val="1F1F1F"/>
          <w:sz w:val="28"/>
          <w:szCs w:val="28"/>
        </w:rPr>
        <w:t xml:space="preserve"> грн; </w:t>
      </w:r>
    </w:p>
    <w:p w14:paraId="50552172" w14:textId="1DABD1EA" w:rsidR="00A46F0C" w:rsidRPr="009B634D" w:rsidRDefault="00A46F0C" w:rsidP="009B634D">
      <w:pPr>
        <w:ind w:firstLine="709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9B634D">
        <w:rPr>
          <w:rFonts w:ascii="Times New Roman" w:hAnsi="Times New Roman" w:cs="Times New Roman"/>
          <w:color w:val="1F1F1F"/>
          <w:sz w:val="28"/>
          <w:szCs w:val="28"/>
        </w:rPr>
        <w:lastRenderedPageBreak/>
        <w:t>Вартість циклів ТУ для всіх суб’єктів = 19 654 000 грн.</w:t>
      </w:r>
    </w:p>
    <w:p w14:paraId="003A1EBA" w14:textId="74EA942D" w:rsidR="00F659FE" w:rsidRPr="009B634D" w:rsidRDefault="00F659FE" w:rsidP="009B634D">
      <w:pPr>
        <w:ind w:firstLine="709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9B634D">
        <w:rPr>
          <w:rFonts w:ascii="Times New Roman" w:hAnsi="Times New Roman" w:cs="Times New Roman"/>
          <w:color w:val="1F1F1F"/>
          <w:sz w:val="28"/>
          <w:szCs w:val="28"/>
        </w:rPr>
        <w:t xml:space="preserve">Вартість оплати </w:t>
      </w:r>
      <w:r w:rsidR="002F0B4B" w:rsidRPr="009B634D">
        <w:rPr>
          <w:rFonts w:ascii="Times New Roman" w:hAnsi="Times New Roman" w:cs="Times New Roman"/>
          <w:color w:val="1F1F1F"/>
          <w:sz w:val="28"/>
          <w:szCs w:val="28"/>
        </w:rPr>
        <w:t>для всіх суб’єктів господарювання становитиме 25 324</w:t>
      </w:r>
      <w:r w:rsidR="00107777" w:rsidRPr="009B634D">
        <w:rPr>
          <w:rFonts w:ascii="Times New Roman" w:hAnsi="Times New Roman" w:cs="Times New Roman"/>
          <w:color w:val="1F1F1F"/>
          <w:sz w:val="28"/>
          <w:szCs w:val="28"/>
        </w:rPr>
        <w:t> </w:t>
      </w:r>
      <w:r w:rsidR="002F0B4B" w:rsidRPr="009B634D">
        <w:rPr>
          <w:rFonts w:ascii="Times New Roman" w:hAnsi="Times New Roman" w:cs="Times New Roman"/>
          <w:color w:val="1F1F1F"/>
          <w:sz w:val="28"/>
          <w:szCs w:val="28"/>
        </w:rPr>
        <w:t>000</w:t>
      </w:r>
      <w:r w:rsidR="00107777" w:rsidRPr="009B634D">
        <w:rPr>
          <w:rFonts w:ascii="Times New Roman" w:hAnsi="Times New Roman" w:cs="Times New Roman"/>
          <w:color w:val="1F1F1F"/>
          <w:sz w:val="28"/>
          <w:szCs w:val="28"/>
        </w:rPr>
        <w:t> </w:t>
      </w:r>
      <w:r w:rsidR="002F0B4B" w:rsidRPr="009B634D">
        <w:rPr>
          <w:rFonts w:ascii="Times New Roman" w:hAnsi="Times New Roman" w:cs="Times New Roman"/>
          <w:color w:val="1F1F1F"/>
          <w:sz w:val="28"/>
          <w:szCs w:val="28"/>
        </w:rPr>
        <w:t>грн.</w:t>
      </w:r>
    </w:p>
    <w:p w14:paraId="02798299" w14:textId="66DE65A8" w:rsidR="002F0B4B" w:rsidRPr="009B634D" w:rsidRDefault="002F0B4B" w:rsidP="009B634D">
      <w:pPr>
        <w:ind w:firstLine="709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9B634D">
        <w:rPr>
          <w:rFonts w:ascii="Times New Roman" w:hAnsi="Times New Roman" w:cs="Times New Roman"/>
          <w:color w:val="1F1F1F"/>
          <w:sz w:val="28"/>
          <w:szCs w:val="28"/>
        </w:rPr>
        <w:t>Сумарна вартість витрат = 27 921 760 грн.</w:t>
      </w:r>
    </w:p>
    <w:p w14:paraId="70CD84E1" w14:textId="77777777" w:rsidR="00CC3F05" w:rsidRPr="009B634D" w:rsidRDefault="00CC3F05" w:rsidP="009B634D">
      <w:pPr>
        <w:widowControl w:val="0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2E7258EC" w14:textId="77777777" w:rsidR="00CC3F05" w:rsidRPr="009B634D" w:rsidRDefault="00CC3F05" w:rsidP="009B634D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b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88"/>
        <w:gridCol w:w="4935"/>
      </w:tblGrid>
      <w:tr w:rsidR="00CC3F05" w:rsidRPr="009B634D" w14:paraId="41317D88" w14:textId="77777777">
        <w:tc>
          <w:tcPr>
            <w:tcW w:w="4988" w:type="dxa"/>
            <w:shd w:val="clear" w:color="auto" w:fill="auto"/>
          </w:tcPr>
          <w:p w14:paraId="73CA23CF" w14:textId="77777777" w:rsidR="00CC3F05" w:rsidRPr="009B634D" w:rsidRDefault="00C76A11" w:rsidP="009B634D">
            <w:pPr>
              <w:widowControl w:val="0"/>
              <w:tabs>
                <w:tab w:val="left" w:pos="99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Сумарні витрати за альтернативами</w:t>
            </w:r>
          </w:p>
        </w:tc>
        <w:tc>
          <w:tcPr>
            <w:tcW w:w="4935" w:type="dxa"/>
            <w:shd w:val="clear" w:color="auto" w:fill="auto"/>
          </w:tcPr>
          <w:p w14:paraId="2CCCA061" w14:textId="77777777" w:rsidR="00CC3F05" w:rsidRPr="009B634D" w:rsidRDefault="00C76A11" w:rsidP="009B634D">
            <w:pPr>
              <w:widowControl w:val="0"/>
              <w:tabs>
                <w:tab w:val="left" w:pos="99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Сума витрат, гривень</w:t>
            </w:r>
          </w:p>
        </w:tc>
      </w:tr>
      <w:tr w:rsidR="00CC3F05" w:rsidRPr="009B634D" w14:paraId="4FF93BFC" w14:textId="77777777">
        <w:tc>
          <w:tcPr>
            <w:tcW w:w="4988" w:type="dxa"/>
            <w:shd w:val="clear" w:color="auto" w:fill="auto"/>
          </w:tcPr>
          <w:p w14:paraId="22A9B182" w14:textId="77777777" w:rsidR="00CC3F05" w:rsidRPr="009B634D" w:rsidRDefault="00C76A11" w:rsidP="009B634D">
            <w:pPr>
              <w:widowControl w:val="0"/>
              <w:tabs>
                <w:tab w:val="left" w:pos="990"/>
              </w:tabs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Альтернатива 1.</w:t>
            </w:r>
          </w:p>
        </w:tc>
        <w:tc>
          <w:tcPr>
            <w:tcW w:w="4935" w:type="dxa"/>
            <w:shd w:val="clear" w:color="auto" w:fill="auto"/>
          </w:tcPr>
          <w:p w14:paraId="630B9FAB" w14:textId="77777777" w:rsidR="00CC3F05" w:rsidRPr="009B634D" w:rsidRDefault="00CC3F05" w:rsidP="009B634D">
            <w:pPr>
              <w:widowControl w:val="0"/>
              <w:tabs>
                <w:tab w:val="left" w:pos="99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3F05" w:rsidRPr="009B634D" w14:paraId="398D89C5" w14:textId="77777777">
        <w:tc>
          <w:tcPr>
            <w:tcW w:w="4988" w:type="dxa"/>
            <w:shd w:val="clear" w:color="auto" w:fill="auto"/>
          </w:tcPr>
          <w:p w14:paraId="277F1CB9" w14:textId="77777777" w:rsidR="00CC3F05" w:rsidRPr="009B634D" w:rsidRDefault="00C76A11" w:rsidP="009B634D">
            <w:pPr>
              <w:widowControl w:val="0"/>
              <w:tabs>
                <w:tab w:val="left" w:pos="990"/>
              </w:tabs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Витрати держави</w:t>
            </w:r>
          </w:p>
        </w:tc>
        <w:tc>
          <w:tcPr>
            <w:tcW w:w="4935" w:type="dxa"/>
            <w:shd w:val="clear" w:color="auto" w:fill="auto"/>
          </w:tcPr>
          <w:p w14:paraId="527DA771" w14:textId="77777777" w:rsidR="00CC3F05" w:rsidRPr="009B634D" w:rsidRDefault="00C76A11" w:rsidP="009B634D">
            <w:pPr>
              <w:widowControl w:val="0"/>
              <w:tabs>
                <w:tab w:val="left" w:pos="99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3F05" w:rsidRPr="009B634D" w14:paraId="64664F95" w14:textId="77777777">
        <w:tc>
          <w:tcPr>
            <w:tcW w:w="4988" w:type="dxa"/>
            <w:shd w:val="clear" w:color="auto" w:fill="auto"/>
          </w:tcPr>
          <w:p w14:paraId="05EB1DBE" w14:textId="77777777" w:rsidR="00CC3F05" w:rsidRPr="009B634D" w:rsidRDefault="00C76A11" w:rsidP="009B634D">
            <w:pPr>
              <w:widowControl w:val="0"/>
              <w:tabs>
                <w:tab w:val="left" w:pos="990"/>
              </w:tabs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Витрати с/г великого та середнього підприємництва</w:t>
            </w:r>
          </w:p>
        </w:tc>
        <w:tc>
          <w:tcPr>
            <w:tcW w:w="4935" w:type="dxa"/>
            <w:shd w:val="clear" w:color="auto" w:fill="auto"/>
          </w:tcPr>
          <w:p w14:paraId="70721A42" w14:textId="56859E1C" w:rsidR="00CC3F05" w:rsidRPr="009B634D" w:rsidRDefault="00E220B9" w:rsidP="009B634D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3F05" w:rsidRPr="009B634D" w14:paraId="3B75B28C" w14:textId="77777777">
        <w:tc>
          <w:tcPr>
            <w:tcW w:w="4988" w:type="dxa"/>
            <w:shd w:val="clear" w:color="auto" w:fill="auto"/>
          </w:tcPr>
          <w:p w14:paraId="4407FFD7" w14:textId="77777777" w:rsidR="00CC3F05" w:rsidRPr="009B634D" w:rsidRDefault="00C76A11" w:rsidP="009B634D">
            <w:pPr>
              <w:widowControl w:val="0"/>
              <w:tabs>
                <w:tab w:val="left" w:pos="990"/>
              </w:tabs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Витрати с/г малого підприємництва</w:t>
            </w:r>
          </w:p>
        </w:tc>
        <w:tc>
          <w:tcPr>
            <w:tcW w:w="4935" w:type="dxa"/>
            <w:shd w:val="clear" w:color="auto" w:fill="auto"/>
          </w:tcPr>
          <w:p w14:paraId="01EEA67D" w14:textId="126F6515" w:rsidR="00CC3F05" w:rsidRPr="009B634D" w:rsidRDefault="00E220B9" w:rsidP="009B634D">
            <w:pPr>
              <w:widowControl w:val="0"/>
              <w:tabs>
                <w:tab w:val="left" w:pos="99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3F05" w:rsidRPr="009B634D" w14:paraId="0A73805A" w14:textId="77777777">
        <w:tc>
          <w:tcPr>
            <w:tcW w:w="4988" w:type="dxa"/>
            <w:shd w:val="clear" w:color="auto" w:fill="auto"/>
          </w:tcPr>
          <w:p w14:paraId="2D4F73FD" w14:textId="77777777" w:rsidR="00CC3F05" w:rsidRPr="009B634D" w:rsidRDefault="00C76A11" w:rsidP="009B634D">
            <w:pPr>
              <w:widowControl w:val="0"/>
              <w:tabs>
                <w:tab w:val="left" w:pos="990"/>
              </w:tabs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Альтернатива 2.</w:t>
            </w:r>
          </w:p>
        </w:tc>
        <w:tc>
          <w:tcPr>
            <w:tcW w:w="4935" w:type="dxa"/>
            <w:shd w:val="clear" w:color="auto" w:fill="auto"/>
          </w:tcPr>
          <w:p w14:paraId="5C217432" w14:textId="77777777" w:rsidR="00CC3F05" w:rsidRPr="009B634D" w:rsidRDefault="00CC3F05" w:rsidP="009B634D">
            <w:pPr>
              <w:widowControl w:val="0"/>
              <w:tabs>
                <w:tab w:val="left" w:pos="99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3F05" w:rsidRPr="009B634D" w14:paraId="436C9B61" w14:textId="77777777">
        <w:tc>
          <w:tcPr>
            <w:tcW w:w="4988" w:type="dxa"/>
            <w:shd w:val="clear" w:color="auto" w:fill="auto"/>
          </w:tcPr>
          <w:p w14:paraId="0C0FBC8A" w14:textId="77777777" w:rsidR="00CC3F05" w:rsidRPr="009B634D" w:rsidRDefault="00C76A11" w:rsidP="009B634D">
            <w:pPr>
              <w:widowControl w:val="0"/>
              <w:tabs>
                <w:tab w:val="left" w:pos="990"/>
              </w:tabs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Витрати держави</w:t>
            </w:r>
          </w:p>
        </w:tc>
        <w:tc>
          <w:tcPr>
            <w:tcW w:w="4935" w:type="dxa"/>
            <w:shd w:val="clear" w:color="auto" w:fill="auto"/>
          </w:tcPr>
          <w:p w14:paraId="52C0A451" w14:textId="77777777" w:rsidR="00CC3F05" w:rsidRPr="009B634D" w:rsidRDefault="00C76A11" w:rsidP="009B634D">
            <w:pPr>
              <w:widowControl w:val="0"/>
              <w:tabs>
                <w:tab w:val="left" w:pos="99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3F05" w:rsidRPr="009B634D" w14:paraId="03BAD608" w14:textId="77777777">
        <w:tc>
          <w:tcPr>
            <w:tcW w:w="4988" w:type="dxa"/>
            <w:shd w:val="clear" w:color="auto" w:fill="auto"/>
          </w:tcPr>
          <w:p w14:paraId="3891BDEB" w14:textId="77777777" w:rsidR="00CC3F05" w:rsidRPr="009B634D" w:rsidRDefault="00C76A11" w:rsidP="009B634D">
            <w:pPr>
              <w:widowControl w:val="0"/>
              <w:tabs>
                <w:tab w:val="left" w:pos="990"/>
              </w:tabs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Витрати с/г великого та середнього підприємництва</w:t>
            </w:r>
          </w:p>
        </w:tc>
        <w:tc>
          <w:tcPr>
            <w:tcW w:w="4935" w:type="dxa"/>
            <w:shd w:val="clear" w:color="auto" w:fill="auto"/>
          </w:tcPr>
          <w:p w14:paraId="540BF166" w14:textId="30351C0A" w:rsidR="00A46F0C" w:rsidRPr="009B634D" w:rsidRDefault="00A46F0C" w:rsidP="009B634D">
            <w:pPr>
              <w:ind w:firstLine="709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B634D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(2 400 000 грн + 6 300 000 грн) + (</w:t>
            </w:r>
            <w:r w:rsidR="00190C49" w:rsidRPr="009B634D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384 грн х 750 підприємств) = </w:t>
            </w:r>
            <w:r w:rsidR="00190C49" w:rsidRPr="009B634D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8 988 000 грн.</w:t>
            </w:r>
          </w:p>
          <w:p w14:paraId="21137D4E" w14:textId="63A0BF6B" w:rsidR="00CC3F05" w:rsidRPr="009B634D" w:rsidRDefault="00CC3F05" w:rsidP="009B634D">
            <w:pPr>
              <w:widowControl w:val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3F05" w:rsidRPr="009B634D" w14:paraId="0584AEE7" w14:textId="77777777">
        <w:tc>
          <w:tcPr>
            <w:tcW w:w="4988" w:type="dxa"/>
            <w:shd w:val="clear" w:color="auto" w:fill="auto"/>
          </w:tcPr>
          <w:p w14:paraId="31B1A954" w14:textId="77777777" w:rsidR="00CC3F05" w:rsidRPr="009B634D" w:rsidRDefault="00C76A11" w:rsidP="009B634D">
            <w:pPr>
              <w:widowControl w:val="0"/>
              <w:tabs>
                <w:tab w:val="left" w:pos="990"/>
              </w:tabs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Витрати с/г малого підприємництва</w:t>
            </w:r>
          </w:p>
        </w:tc>
        <w:tc>
          <w:tcPr>
            <w:tcW w:w="4935" w:type="dxa"/>
            <w:shd w:val="clear" w:color="auto" w:fill="auto"/>
          </w:tcPr>
          <w:p w14:paraId="2B721CB3" w14:textId="2D370B68" w:rsidR="00190C49" w:rsidRPr="009B634D" w:rsidRDefault="00190C49" w:rsidP="009B634D">
            <w:pPr>
              <w:ind w:firstLine="709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r w:rsidRPr="009B634D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9 188 000 грн + 7 436 000 грн) + (384 х 6015) = </w:t>
            </w:r>
            <w:r w:rsidRPr="009B634D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18 933 760 грн.</w:t>
            </w:r>
          </w:p>
          <w:p w14:paraId="7DF04499" w14:textId="53C3D378" w:rsidR="00CC3F05" w:rsidRPr="009B634D" w:rsidRDefault="00CC3F05" w:rsidP="009B634D">
            <w:pPr>
              <w:widowControl w:val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E367735" w14:textId="77777777" w:rsidR="00CC3F05" w:rsidRPr="009B634D" w:rsidRDefault="00CC3F05" w:rsidP="009B634D">
      <w:pPr>
        <w:tabs>
          <w:tab w:val="left" w:pos="180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A881B4D" w14:textId="77777777" w:rsidR="00CC3F05" w:rsidRPr="009B634D" w:rsidRDefault="00C76A11" w:rsidP="009B634D">
      <w:pPr>
        <w:widowControl w:val="0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634D">
        <w:rPr>
          <w:rFonts w:ascii="Times New Roman" w:eastAsia="Times New Roman" w:hAnsi="Times New Roman" w:cs="Times New Roman"/>
          <w:b/>
          <w:sz w:val="28"/>
          <w:szCs w:val="28"/>
        </w:rPr>
        <w:t>IV. Вибір найбільш оптимального альтернативного способу досягнення цілей</w:t>
      </w:r>
    </w:p>
    <w:p w14:paraId="1DBF3B0D" w14:textId="77777777" w:rsidR="00CC3F05" w:rsidRPr="009B634D" w:rsidRDefault="00CC3F05" w:rsidP="009B634D">
      <w:pPr>
        <w:widowControl w:val="0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97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1"/>
        <w:gridCol w:w="2247"/>
        <w:gridCol w:w="5087"/>
      </w:tblGrid>
      <w:tr w:rsidR="00CC3F05" w:rsidRPr="009B634D" w14:paraId="2E743040" w14:textId="77777777"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108D" w14:textId="77777777" w:rsidR="00CC3F05" w:rsidRPr="009B634D" w:rsidRDefault="00CC3F05" w:rsidP="009B634D">
            <w:pPr>
              <w:widowControl w:val="0"/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0CDF38" w14:textId="77777777" w:rsidR="00CC3F05" w:rsidRPr="009B634D" w:rsidRDefault="00C76A11" w:rsidP="00FF02F8">
            <w:pPr>
              <w:widowControl w:val="0"/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Рейтинг результативності (досягнення цілей під час вирішення проблеми)</w:t>
            </w:r>
          </w:p>
          <w:p w14:paraId="4ADC33B2" w14:textId="77777777" w:rsidR="00CC3F05" w:rsidRPr="009B634D" w:rsidRDefault="00CC3F05" w:rsidP="009B634D">
            <w:pPr>
              <w:widowControl w:val="0"/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1105" w14:textId="77777777" w:rsidR="00CC3F05" w:rsidRPr="009B634D" w:rsidRDefault="00CC3F05" w:rsidP="009B634D">
            <w:pPr>
              <w:widowControl w:val="0"/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71F975" w14:textId="77777777" w:rsidR="00CC3F05" w:rsidRPr="009B634D" w:rsidRDefault="00C76A11" w:rsidP="00FF02F8">
            <w:pPr>
              <w:widowControl w:val="0"/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Бал результативності (за чотирибальною системою оцінки)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D517" w14:textId="77777777" w:rsidR="00CC3F05" w:rsidRPr="009B634D" w:rsidRDefault="00CC3F05" w:rsidP="009B634D">
            <w:pPr>
              <w:widowControl w:val="0"/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AAE085" w14:textId="77777777" w:rsidR="00CC3F05" w:rsidRPr="009B634D" w:rsidRDefault="00C76A11" w:rsidP="009B634D">
            <w:pPr>
              <w:widowControl w:val="0"/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Коментарі щодо присвоєння відповідного </w:t>
            </w:r>
            <w:proofErr w:type="spellStart"/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бала</w:t>
            </w:r>
            <w:proofErr w:type="spellEnd"/>
          </w:p>
        </w:tc>
      </w:tr>
      <w:tr w:rsidR="00CC3F05" w:rsidRPr="009B634D" w14:paraId="2CD2ED36" w14:textId="77777777"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CA3D" w14:textId="77777777" w:rsidR="00CC3F05" w:rsidRPr="009B634D" w:rsidRDefault="00CC3F05" w:rsidP="009B634D">
            <w:pPr>
              <w:widowControl w:val="0"/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3A4879" w14:textId="77777777" w:rsidR="00CC3F05" w:rsidRPr="009B634D" w:rsidRDefault="00C76A11" w:rsidP="00FF02F8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Альтернатива 1.</w:t>
            </w:r>
          </w:p>
          <w:p w14:paraId="5AFB1A47" w14:textId="77777777" w:rsidR="00CC3F05" w:rsidRPr="009B634D" w:rsidRDefault="00CC3F05" w:rsidP="009B634D">
            <w:pPr>
              <w:widowControl w:val="0"/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0B34" w14:textId="77777777" w:rsidR="00CC3F05" w:rsidRPr="009B634D" w:rsidRDefault="00CC3F05" w:rsidP="009B634D">
            <w:pPr>
              <w:widowControl w:val="0"/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B6BBEF" w14:textId="10A20A21" w:rsidR="00CC3F05" w:rsidRPr="009B634D" w:rsidRDefault="002D07A6" w:rsidP="009B634D">
            <w:pPr>
              <w:widowControl w:val="0"/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67AC7" w14:textId="77777777" w:rsidR="002D07A6" w:rsidRPr="009B634D" w:rsidRDefault="002D07A6" w:rsidP="009B634D">
            <w:pPr>
              <w:widowControl w:val="0"/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Проблема продовжить існувати.</w:t>
            </w:r>
          </w:p>
          <w:p w14:paraId="3310F6A5" w14:textId="5FD19E87" w:rsidR="00CC3F05" w:rsidRPr="009B634D" w:rsidRDefault="002D07A6" w:rsidP="009B634D">
            <w:pPr>
              <w:widowControl w:val="0"/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Залишення ситуації без змін</w:t>
            </w:r>
            <w:r w:rsid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призведе до того, що </w:t>
            </w:r>
            <w:r w:rsidR="008E0084"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суб’єкти господарювання  при оформленні документів для отримання ліцензії та веденні внутрішньої документації замість вірних назв професій (посад) будуть і надалі використовувати </w:t>
            </w:r>
            <w:r w:rsidR="008E0084" w:rsidRPr="009B634D">
              <w:rPr>
                <w:rFonts w:ascii="Times New Roman" w:hAnsi="Times New Roman" w:cs="Times New Roman"/>
                <w:sz w:val="28"/>
                <w:szCs w:val="28"/>
              </w:rPr>
              <w:t xml:space="preserve">«провізор», «провізор-інтерн»; клінічний  фармацевт, фармацевт-косметолог та фармацевт-інтерн будуть обмежені в наданні </w:t>
            </w:r>
            <w:r w:rsidR="008E0084" w:rsidRPr="009B63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повноважень/посадових обов’язків; сільські населені пункти і надалі отримуватимуть низький рівень фармацевтичних послуг. </w:t>
            </w:r>
          </w:p>
        </w:tc>
      </w:tr>
      <w:tr w:rsidR="00CC3F05" w:rsidRPr="009B634D" w14:paraId="19D55B5C" w14:textId="77777777">
        <w:trPr>
          <w:trHeight w:val="132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FF38" w14:textId="77777777" w:rsidR="00CC3F05" w:rsidRPr="009B634D" w:rsidRDefault="00CC3F05" w:rsidP="009B634D">
            <w:pPr>
              <w:widowControl w:val="0"/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65CF93" w14:textId="77777777" w:rsidR="00CC3F05" w:rsidRPr="009B634D" w:rsidRDefault="00C76A11" w:rsidP="00FF02F8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Альтернатива 2.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1823" w14:textId="77777777" w:rsidR="00CC3F05" w:rsidRPr="009B634D" w:rsidRDefault="00CC3F05" w:rsidP="009B634D">
            <w:pPr>
              <w:widowControl w:val="0"/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7FD978" w14:textId="23887D70" w:rsidR="00CC3F05" w:rsidRPr="009B634D" w:rsidRDefault="008E0084" w:rsidP="009B634D">
            <w:pPr>
              <w:widowControl w:val="0"/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6B9DF" w14:textId="43904649" w:rsidR="00CC3F05" w:rsidRPr="009B634D" w:rsidRDefault="008E0084" w:rsidP="009B634D">
            <w:pPr>
              <w:widowControl w:val="0"/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Зазначений спосіб є найбільш</w:t>
            </w:r>
            <w:r w:rsid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доцільним, оскільки передбачає</w:t>
            </w:r>
            <w:r w:rsidR="001A11A9"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врахування всіх норм,</w:t>
            </w:r>
            <w:r w:rsidR="001A11A9"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передбачених </w:t>
            </w:r>
            <w:r w:rsidRPr="009B634D">
              <w:rPr>
                <w:rFonts w:ascii="Times New Roman" w:hAnsi="Times New Roman" w:cs="Times New Roman"/>
                <w:sz w:val="28"/>
                <w:szCs w:val="28"/>
              </w:rPr>
              <w:t xml:space="preserve">Кодексом законів про працю України, Законом України «Про освіту», </w:t>
            </w:r>
            <w:r w:rsidR="001A11A9" w:rsidRPr="009B634D">
              <w:rPr>
                <w:rFonts w:ascii="Times New Roman" w:hAnsi="Times New Roman" w:cs="Times New Roman"/>
                <w:sz w:val="28"/>
                <w:szCs w:val="28"/>
              </w:rPr>
              <w:t xml:space="preserve">Національним класифікатором України «Класифікатор професій ДК 003:2010» та Переліку посад фармацевтів та фахівців з фармацевтичною освітою у закладах охорони здоров’я, затверджених наказом МОЗ від 28.10.2002 № 385; Номенклатурі фармацевтичних (провізорських) спеціальностей, затвердженій наказом МОЗ від 12.12.2006 № 818, професійним стандартам. </w:t>
            </w:r>
          </w:p>
        </w:tc>
      </w:tr>
    </w:tbl>
    <w:p w14:paraId="291E8681" w14:textId="77777777" w:rsidR="00CC3F05" w:rsidRPr="009B634D" w:rsidRDefault="00CC3F05" w:rsidP="009B634D">
      <w:pPr>
        <w:widowControl w:val="0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d"/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5"/>
        <w:gridCol w:w="3686"/>
        <w:gridCol w:w="257"/>
        <w:gridCol w:w="1586"/>
        <w:gridCol w:w="1984"/>
      </w:tblGrid>
      <w:tr w:rsidR="00CC3F05" w:rsidRPr="009B634D" w14:paraId="5A218696" w14:textId="77777777" w:rsidTr="009E2B57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D18B" w14:textId="77777777" w:rsidR="00CC3F05" w:rsidRPr="009B634D" w:rsidRDefault="00C76A11" w:rsidP="00FF02F8">
            <w:pPr>
              <w:widowControl w:val="0"/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Рейтинг результативності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6A56" w14:textId="77777777" w:rsidR="00CC3F05" w:rsidRPr="009B634D" w:rsidRDefault="00C76A11" w:rsidP="00FF02F8">
            <w:pPr>
              <w:widowControl w:val="0"/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Вигоди (підсумок)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187F" w14:textId="77777777" w:rsidR="00CC3F05" w:rsidRPr="009B634D" w:rsidRDefault="00C76A11" w:rsidP="009B634D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Витрати (підсумок)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7CE8" w14:textId="77777777" w:rsidR="00CC3F05" w:rsidRPr="009B634D" w:rsidRDefault="00C76A11" w:rsidP="009B634D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Обґрунтування відповідного місця альтернативи у рейтингу</w:t>
            </w:r>
          </w:p>
          <w:p w14:paraId="7CF18FAB" w14:textId="77777777" w:rsidR="00CC3F05" w:rsidRPr="009B634D" w:rsidRDefault="00CC3F05" w:rsidP="009B634D">
            <w:pPr>
              <w:widowControl w:val="0"/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3F05" w:rsidRPr="009B634D" w14:paraId="4AF76B9A" w14:textId="77777777" w:rsidTr="009E2B57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FEE2" w14:textId="77777777" w:rsidR="00CC3F05" w:rsidRPr="009B634D" w:rsidRDefault="00C76A11" w:rsidP="00FF02F8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Альтернатива 1.</w:t>
            </w:r>
          </w:p>
          <w:p w14:paraId="33230E80" w14:textId="77777777" w:rsidR="00CC3F05" w:rsidRPr="009B634D" w:rsidRDefault="00CC3F05" w:rsidP="009B634D">
            <w:pPr>
              <w:widowControl w:val="0"/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890E" w14:textId="380222FA" w:rsidR="00CC3F05" w:rsidRPr="009B634D" w:rsidRDefault="006D19B3" w:rsidP="009B634D">
            <w:pPr>
              <w:widowControl w:val="0"/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Вигоди цього способу мінімальні оскільки даний</w:t>
            </w:r>
            <w:r w:rsid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 не відповідає</w:t>
            </w:r>
            <w:r w:rsid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вимогам </w:t>
            </w:r>
            <w:r w:rsidRPr="009B634D">
              <w:rPr>
                <w:rFonts w:ascii="Times New Roman" w:hAnsi="Times New Roman" w:cs="Times New Roman"/>
                <w:sz w:val="28"/>
                <w:szCs w:val="28"/>
              </w:rPr>
              <w:t xml:space="preserve">Кодексу законів про працю України, Закону України «Про освіту», Національному класифікатору України «Класифікатор професій ДК 003:2010» та Переліку посад фармацевтів та фахівців з фармацевтичною освітою у закладах охорони здоров’я, затверджених наказом МОЗ від 28.10.2002 № 385; Номенклатурі фармацевтичних (провізорських) спеціальностей, </w:t>
            </w:r>
            <w:r w:rsidRPr="009B63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затвердженій наказом МОЗ від 12.12.2006 № 818, професійним стандартам, а також </w:t>
            </w:r>
            <w:r w:rsidR="004E264A" w:rsidRPr="009B634D">
              <w:rPr>
                <w:rFonts w:ascii="Times New Roman" w:hAnsi="Times New Roman" w:cs="Times New Roman"/>
                <w:sz w:val="28"/>
                <w:szCs w:val="28"/>
              </w:rPr>
              <w:t xml:space="preserve">створює умови за яких </w:t>
            </w:r>
            <w:r w:rsidR="004E264A" w:rsidRPr="00BC7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ризи</w:t>
            </w:r>
            <w:r w:rsidR="004E264A" w:rsidRPr="009B6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</w:t>
            </w:r>
            <w:r w:rsidR="004E264A" w:rsidRPr="00BC7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пов’язан</w:t>
            </w:r>
            <w:r w:rsidR="004E264A" w:rsidRPr="009B6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r w:rsidR="004E264A" w:rsidRPr="00BC7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із порушенням вимог якості лікарських засобів</w:t>
            </w:r>
            <w:r w:rsidR="004E264A" w:rsidRPr="009B6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залишаються на тому ж рівні; </w:t>
            </w:r>
            <w:r w:rsidR="004E264A" w:rsidRPr="009B634D">
              <w:rPr>
                <w:rFonts w:ascii="Times New Roman" w:hAnsi="Times New Roman" w:cs="Times New Roman"/>
                <w:sz w:val="28"/>
                <w:szCs w:val="28"/>
              </w:rPr>
              <w:t>рівень надання фармацевтичної допомоги у сільській місцевості залишається низьким.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409E" w14:textId="2F781181" w:rsidR="00CC3F05" w:rsidRPr="009B634D" w:rsidRDefault="004E264A" w:rsidP="009B634D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Відсутні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E379" w14:textId="7B6FD55D" w:rsidR="004E264A" w:rsidRPr="009B634D" w:rsidRDefault="009B634D" w:rsidP="009B634D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E264A"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Рейтинг</w:t>
            </w:r>
          </w:p>
          <w:p w14:paraId="5DBA4FBA" w14:textId="77777777" w:rsidR="004E264A" w:rsidRPr="009B634D" w:rsidRDefault="004E264A" w:rsidP="009B634D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низький через</w:t>
            </w:r>
          </w:p>
          <w:p w14:paraId="4F918A4E" w14:textId="77777777" w:rsidR="004E264A" w:rsidRPr="009B634D" w:rsidRDefault="004E264A" w:rsidP="009B634D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відсутність</w:t>
            </w:r>
          </w:p>
          <w:p w14:paraId="1D73B638" w14:textId="77777777" w:rsidR="004E264A" w:rsidRPr="009B634D" w:rsidRDefault="004E264A" w:rsidP="009B634D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способів</w:t>
            </w:r>
          </w:p>
          <w:p w14:paraId="7B223AB0" w14:textId="77777777" w:rsidR="004E264A" w:rsidRPr="009B634D" w:rsidRDefault="004E264A" w:rsidP="009B634D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вирішення</w:t>
            </w:r>
          </w:p>
          <w:p w14:paraId="57C21047" w14:textId="6B32628D" w:rsidR="00CC3F05" w:rsidRPr="009B634D" w:rsidRDefault="004E264A" w:rsidP="009B634D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проблеми.</w:t>
            </w:r>
          </w:p>
        </w:tc>
      </w:tr>
      <w:tr w:rsidR="00CC3F05" w:rsidRPr="009B634D" w14:paraId="47DCEAF1" w14:textId="77777777" w:rsidTr="009E2B57">
        <w:trPr>
          <w:trHeight w:val="98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DDCC" w14:textId="77777777" w:rsidR="00CC3F05" w:rsidRPr="009B634D" w:rsidRDefault="00C76A11" w:rsidP="00FF02F8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Альтернатива 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4EC4" w14:textId="3FA09C10" w:rsidR="004E264A" w:rsidRPr="009B634D" w:rsidRDefault="004E264A" w:rsidP="009B634D">
            <w:pPr>
              <w:widowControl w:val="0"/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Максимальні вигоди,</w:t>
            </w:r>
          </w:p>
          <w:p w14:paraId="59F00624" w14:textId="52C9586C" w:rsidR="004E264A" w:rsidRPr="009B634D" w:rsidRDefault="004E264A" w:rsidP="009B634D">
            <w:pPr>
              <w:widowControl w:val="0"/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Приведення Ліцензійних</w:t>
            </w:r>
          </w:p>
          <w:p w14:paraId="3D6BA0DF" w14:textId="591CF08E" w:rsidR="00CC3F05" w:rsidRPr="009B634D" w:rsidRDefault="004E264A" w:rsidP="009B634D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умов у відповідність до </w:t>
            </w:r>
            <w:r w:rsidRPr="009B634D">
              <w:rPr>
                <w:rFonts w:ascii="Times New Roman" w:hAnsi="Times New Roman" w:cs="Times New Roman"/>
                <w:sz w:val="28"/>
                <w:szCs w:val="28"/>
              </w:rPr>
              <w:t xml:space="preserve">Кодексу законів про працю України, Закону України «Про  освіту», Національному класифікатору України «Класифікатор професій ДК 003:2010» та Переліку посад фармацевтів </w:t>
            </w:r>
            <w:r w:rsidRPr="009B63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та фахівців з фармацевтичною освітою у закладах охорони здоров’я, затверджених наказом МОЗ від 28.10.2002 № 385; Номенклатурі фармацевтичних (провізорських) спеціальностей, затвердженій наказом МОЗ від 12.12.2006 № 818, професійним стандартам. </w:t>
            </w:r>
            <w:r w:rsidR="009E2B57" w:rsidRPr="009B63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 випадку прийняття запропонованого </w:t>
            </w:r>
            <w:proofErr w:type="spellStart"/>
            <w:r w:rsidR="009E2B57" w:rsidRPr="009B63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проєкту</w:t>
            </w:r>
            <w:proofErr w:type="spellEnd"/>
            <w:r w:rsidR="009E2B57" w:rsidRPr="009B63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передбачається з</w:t>
            </w:r>
            <w:r w:rsidRPr="009B63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ниж</w:t>
            </w:r>
            <w:r w:rsidR="009E2B57" w:rsidRPr="009B63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ення</w:t>
            </w:r>
            <w:r w:rsidRPr="009B63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ризи</w:t>
            </w:r>
            <w:r w:rsidR="009E2B57" w:rsidRPr="009B63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ків,</w:t>
            </w:r>
            <w:r w:rsidRPr="00B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E2B57" w:rsidRPr="009B63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що </w:t>
            </w:r>
            <w:r w:rsidRPr="00B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пов’язан</w:t>
            </w:r>
            <w:r w:rsidRPr="009B63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r w:rsidRPr="00B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C7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із порушенням вимог якості лікарських засобів</w:t>
            </w:r>
            <w:r w:rsidRPr="009B6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 покращ</w:t>
            </w:r>
            <w:r w:rsidR="009E2B57" w:rsidRPr="009B6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ення</w:t>
            </w:r>
            <w:r w:rsidRPr="009B6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6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доступності фармацевтичн</w:t>
            </w:r>
            <w:r w:rsidRPr="009B6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их послуг </w:t>
            </w:r>
            <w:r w:rsidRPr="00E66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населення, особливо у сільській місцевості.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7628" w14:textId="77777777" w:rsidR="009E2B57" w:rsidRPr="009B634D" w:rsidRDefault="009E2B57" w:rsidP="009B634D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Можливі витрати на ознайомлення з новими вимогами регулювання та забезпечення додаткової підготовки працівників з фармації (у разі необхідності оплати циклів тематичного удосконалення).</w:t>
            </w:r>
          </w:p>
          <w:p w14:paraId="6736568E" w14:textId="77777777" w:rsidR="00CC3F05" w:rsidRPr="009B634D" w:rsidRDefault="00CC3F05" w:rsidP="009B634D">
            <w:pPr>
              <w:widowControl w:val="0"/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A37ADA" w14:textId="77777777" w:rsidR="00CC3F05" w:rsidRPr="009B634D" w:rsidRDefault="00CC3F05" w:rsidP="009B634D">
            <w:pPr>
              <w:widowControl w:val="0"/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06C4" w14:textId="55E63443" w:rsidR="009E2B57" w:rsidRPr="009B634D" w:rsidRDefault="009E2B57" w:rsidP="009B634D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Рейтинг</w:t>
            </w:r>
            <w:r w:rsid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високий,</w:t>
            </w:r>
            <w:r w:rsid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оскільки</w:t>
            </w:r>
          </w:p>
          <w:p w14:paraId="768B7247" w14:textId="77777777" w:rsidR="009E2B57" w:rsidRPr="009B634D" w:rsidRDefault="009E2B57" w:rsidP="009B634D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прийняття</w:t>
            </w:r>
          </w:p>
          <w:p w14:paraId="09D29F1D" w14:textId="28F8BB64" w:rsidR="009E2B57" w:rsidRPr="009B634D" w:rsidRDefault="009E2B57" w:rsidP="009B634D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пропонованого </w:t>
            </w:r>
            <w:proofErr w:type="spellStart"/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проєкту</w:t>
            </w:r>
            <w:proofErr w:type="spellEnd"/>
          </w:p>
          <w:p w14:paraId="702ED53A" w14:textId="77777777" w:rsidR="009E2B57" w:rsidRPr="009B634D" w:rsidRDefault="009E2B57" w:rsidP="009B634D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дозволяє</w:t>
            </w:r>
          </w:p>
          <w:p w14:paraId="4FB70D07" w14:textId="77777777" w:rsidR="009E2B57" w:rsidRPr="009B634D" w:rsidRDefault="009E2B57" w:rsidP="009B634D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найбільш</w:t>
            </w:r>
          </w:p>
          <w:p w14:paraId="3C7BA23B" w14:textId="77777777" w:rsidR="009E2B57" w:rsidRPr="009B634D" w:rsidRDefault="009E2B57" w:rsidP="009B634D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повно підійти</w:t>
            </w:r>
          </w:p>
          <w:p w14:paraId="6E0B7F5B" w14:textId="77777777" w:rsidR="009E2B57" w:rsidRPr="009B634D" w:rsidRDefault="009E2B57" w:rsidP="009B634D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до розв’язання</w:t>
            </w:r>
          </w:p>
          <w:p w14:paraId="4A21C2AA" w14:textId="77777777" w:rsidR="009E2B57" w:rsidRPr="009B634D" w:rsidRDefault="009E2B57" w:rsidP="009B634D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існуючих</w:t>
            </w:r>
          </w:p>
          <w:p w14:paraId="698C5670" w14:textId="0C35D04C" w:rsidR="00CC3F05" w:rsidRPr="009B634D" w:rsidRDefault="009E2B57" w:rsidP="009B634D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проблем.</w:t>
            </w:r>
          </w:p>
        </w:tc>
      </w:tr>
      <w:tr w:rsidR="00CC3F05" w:rsidRPr="009B634D" w14:paraId="5BF900AC" w14:textId="77777777">
        <w:trPr>
          <w:gridAfter w:val="4"/>
          <w:wAfter w:w="7513" w:type="dxa"/>
          <w:trHeight w:val="348"/>
        </w:trPr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2DFABE" w14:textId="77777777" w:rsidR="00CC3F05" w:rsidRPr="009B634D" w:rsidRDefault="00CC3F05" w:rsidP="009B634D">
            <w:pPr>
              <w:widowControl w:val="0"/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3F05" w:rsidRPr="009B634D" w14:paraId="1D52240B" w14:textId="77777777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BA26B" w14:textId="77777777" w:rsidR="00CC3F05" w:rsidRPr="009B634D" w:rsidRDefault="00C76A11" w:rsidP="00FF02F8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Рейтинг</w:t>
            </w:r>
          </w:p>
        </w:tc>
        <w:tc>
          <w:tcPr>
            <w:tcW w:w="3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E9AB" w14:textId="77777777" w:rsidR="00CC3F05" w:rsidRPr="009B634D" w:rsidRDefault="00C76A11" w:rsidP="009B634D">
            <w:pPr>
              <w:widowControl w:val="0"/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1645" w14:textId="77777777" w:rsidR="00CC3F05" w:rsidRPr="009B634D" w:rsidRDefault="00C76A11" w:rsidP="009B634D">
            <w:pPr>
              <w:widowControl w:val="0"/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Оцінка ризику зовнішніх</w:t>
            </w:r>
            <w:r w:rsidRPr="009B63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чинників на дію запропонованого </w:t>
            </w:r>
            <w:proofErr w:type="spellStart"/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постанови</w:t>
            </w:r>
          </w:p>
        </w:tc>
      </w:tr>
      <w:tr w:rsidR="00CC3F05" w:rsidRPr="009B634D" w14:paraId="07718D8B" w14:textId="77777777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7EB4" w14:textId="77777777" w:rsidR="00CC3F05" w:rsidRPr="009B634D" w:rsidRDefault="00C76A11" w:rsidP="00FF02F8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Альтернатива 1.</w:t>
            </w:r>
          </w:p>
        </w:tc>
        <w:tc>
          <w:tcPr>
            <w:tcW w:w="3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929D" w14:textId="77777777" w:rsidR="009E2B57" w:rsidRPr="009B634D" w:rsidRDefault="009E2B57" w:rsidP="009B634D">
            <w:pPr>
              <w:widowControl w:val="0"/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A7C1F2" w14:textId="77777777" w:rsidR="009E2B57" w:rsidRPr="009B634D" w:rsidRDefault="009E2B57" w:rsidP="009B634D">
            <w:pPr>
              <w:widowControl w:val="0"/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Переваги обраної</w:t>
            </w:r>
          </w:p>
          <w:p w14:paraId="240C2BDD" w14:textId="74C835E1" w:rsidR="009E2B57" w:rsidRPr="009B634D" w:rsidRDefault="009E2B57" w:rsidP="009B634D">
            <w:pPr>
              <w:widowControl w:val="0"/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альтернативи відсутні</w:t>
            </w:r>
          </w:p>
          <w:p w14:paraId="3E9E4589" w14:textId="3CC76769" w:rsidR="00CC3F05" w:rsidRPr="009B634D" w:rsidRDefault="00CC3F05" w:rsidP="009B634D">
            <w:pPr>
              <w:widowControl w:val="0"/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6390" w14:textId="7DC5B203" w:rsidR="00CC3F05" w:rsidRPr="009B634D" w:rsidRDefault="009E2B57" w:rsidP="009B634D">
            <w:pPr>
              <w:widowControl w:val="0"/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Вплив зовнішніх</w:t>
            </w:r>
            <w:r w:rsid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чинників вбачається</w:t>
            </w:r>
            <w:r w:rsid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значним, ризики</w:t>
            </w:r>
            <w:r w:rsid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високі.</w:t>
            </w:r>
          </w:p>
        </w:tc>
      </w:tr>
      <w:tr w:rsidR="00CC3F05" w:rsidRPr="009B634D" w14:paraId="4E092C4E" w14:textId="77777777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FB523" w14:textId="77777777" w:rsidR="00CC3F05" w:rsidRPr="009B634D" w:rsidRDefault="00C76A11" w:rsidP="00FF02F8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Альтернатива 2.</w:t>
            </w:r>
          </w:p>
          <w:p w14:paraId="4EE4B690" w14:textId="77777777" w:rsidR="00CC3F05" w:rsidRPr="009B634D" w:rsidRDefault="00CC3F05" w:rsidP="009B634D">
            <w:pPr>
              <w:widowControl w:val="0"/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7CB6" w14:textId="0F2F0BDC" w:rsidR="00BB525A" w:rsidRPr="009B634D" w:rsidRDefault="009625E3" w:rsidP="009B634D">
            <w:pPr>
              <w:widowControl w:val="0"/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Аргументи для відмови відсутні. Обрана альтернатива є найбільш раціональним варіантом врахування інтересів всіх суб’єктів господарювання, на яких проблемі здійснює вплив.  </w:t>
            </w:r>
          </w:p>
          <w:p w14:paraId="33B926F0" w14:textId="027ED7B3" w:rsidR="00BB525A" w:rsidRPr="009B634D" w:rsidRDefault="00BB525A" w:rsidP="009B634D">
            <w:pPr>
              <w:widowControl w:val="0"/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Забезпечить:</w:t>
            </w:r>
          </w:p>
          <w:p w14:paraId="5B46F14D" w14:textId="1EE82051" w:rsidR="00BB525A" w:rsidRPr="009B634D" w:rsidRDefault="00BB525A" w:rsidP="009B634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B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риведенн</w:t>
            </w:r>
            <w:r w:rsidRPr="009B63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B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B63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r w:rsidRPr="00BC7A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іцензійних умов у відповідність </w:t>
            </w:r>
            <w:r w:rsidRPr="00BC7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змін у законодавстві</w:t>
            </w:r>
            <w:r w:rsidRPr="009B6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BC7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4BA401BF" w14:textId="282A9E76" w:rsidR="00BB525A" w:rsidRPr="009B634D" w:rsidRDefault="00BB525A" w:rsidP="009B634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</w:rPr>
              <w:t xml:space="preserve">підвищення </w:t>
            </w:r>
            <w:r w:rsidRPr="00BC7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рівня </w:t>
            </w:r>
            <w:r w:rsidRPr="009B6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освіти фармацевтів-інтернів та </w:t>
            </w:r>
            <w:r w:rsidRPr="00BC7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професійної кваліфікації працівників суб’єктів господарювання, які відповідають за якість лікарських засобів</w:t>
            </w:r>
            <w:r w:rsidRPr="009B6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їх реалізацію;</w:t>
            </w:r>
          </w:p>
          <w:p w14:paraId="680EFF17" w14:textId="77777777" w:rsidR="00BB525A" w:rsidRPr="009B634D" w:rsidRDefault="00BB525A" w:rsidP="009B634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color w:val="232323"/>
                <w:sz w:val="28"/>
                <w:szCs w:val="28"/>
              </w:rPr>
              <w:t xml:space="preserve">зниження </w:t>
            </w:r>
            <w:r w:rsidRPr="00BC7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ризиків, пов’язаних із порушенням вимог якості лікарських засобів</w:t>
            </w:r>
            <w:r w:rsidRPr="009B6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57AFAB7A" w14:textId="225D024E" w:rsidR="00BB525A" w:rsidRPr="00E66FBF" w:rsidRDefault="00BB525A" w:rsidP="009B634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66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окращенн</w:t>
            </w:r>
            <w:r w:rsidRPr="009B6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E66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доступності фармацевтичн</w:t>
            </w:r>
            <w:r w:rsidRPr="009B63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их послуг </w:t>
            </w:r>
            <w:r w:rsidRPr="00E66F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населення, особливо у сільській місцевості.</w:t>
            </w:r>
          </w:p>
          <w:p w14:paraId="373C8AA7" w14:textId="61179057" w:rsidR="00CC3F05" w:rsidRPr="009B634D" w:rsidRDefault="00CC3F05" w:rsidP="009B634D">
            <w:pPr>
              <w:widowControl w:val="0"/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01CAF" w14:textId="2903D372" w:rsidR="00CC3F05" w:rsidRPr="009B634D" w:rsidRDefault="00BB525A" w:rsidP="009B634D">
            <w:pPr>
              <w:widowControl w:val="0"/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Вплив зовнішніх</w:t>
            </w:r>
            <w:r w:rsid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чинників вбачається</w:t>
            </w:r>
            <w:r w:rsid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незначним, ризики</w:t>
            </w:r>
            <w:r w:rsid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B634D">
              <w:rPr>
                <w:rFonts w:ascii="Times New Roman" w:eastAsia="Times New Roman" w:hAnsi="Times New Roman" w:cs="Times New Roman"/>
                <w:sz w:val="28"/>
                <w:szCs w:val="28"/>
              </w:rPr>
              <w:t>низькі.</w:t>
            </w:r>
          </w:p>
        </w:tc>
      </w:tr>
    </w:tbl>
    <w:p w14:paraId="50F59828" w14:textId="77777777" w:rsidR="00CC3F05" w:rsidRPr="009B634D" w:rsidRDefault="00CC3F05" w:rsidP="009B634D">
      <w:pPr>
        <w:widowControl w:val="0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DB1EFA" w14:textId="77777777" w:rsidR="00CC3F05" w:rsidRPr="009B634D" w:rsidRDefault="00C76A11" w:rsidP="009B634D">
      <w:pPr>
        <w:widowControl w:val="0"/>
        <w:shd w:val="clear" w:color="auto" w:fill="FFFFFF"/>
        <w:tabs>
          <w:tab w:val="left" w:pos="921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34D">
        <w:rPr>
          <w:rFonts w:ascii="Times New Roman" w:eastAsia="Times New Roman" w:hAnsi="Times New Roman" w:cs="Times New Roman"/>
          <w:b/>
          <w:sz w:val="28"/>
          <w:szCs w:val="28"/>
        </w:rPr>
        <w:t>V. Механізми та заходи, які забезпечать розв’язання визначеної проблеми</w:t>
      </w:r>
    </w:p>
    <w:p w14:paraId="63F8233B" w14:textId="6DB1838D" w:rsidR="00434EEB" w:rsidRPr="009B634D" w:rsidRDefault="00434EEB" w:rsidP="009B634D">
      <w:pPr>
        <w:widowControl w:val="0"/>
        <w:shd w:val="clear" w:color="auto" w:fill="FFFFFF"/>
        <w:tabs>
          <w:tab w:val="left" w:pos="921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34D">
        <w:rPr>
          <w:rFonts w:ascii="Times New Roman" w:eastAsia="Times New Roman" w:hAnsi="Times New Roman" w:cs="Times New Roman"/>
          <w:sz w:val="28"/>
          <w:szCs w:val="28"/>
        </w:rPr>
        <w:t>Реалізувати встановлену мету пропонується шляхом затвердження</w:t>
      </w:r>
      <w:r w:rsidR="002652CF" w:rsidRPr="009B6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634D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9B634D">
        <w:rPr>
          <w:rFonts w:ascii="Times New Roman" w:eastAsia="Times New Roman" w:hAnsi="Times New Roman" w:cs="Times New Roman"/>
          <w:sz w:val="28"/>
          <w:szCs w:val="28"/>
        </w:rPr>
        <w:t xml:space="preserve"> постанови Кабінету Міністрів України «Про внесення змін до</w:t>
      </w:r>
      <w:r w:rsidR="002652CF" w:rsidRPr="009B6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634D">
        <w:rPr>
          <w:rFonts w:ascii="Times New Roman" w:eastAsia="Times New Roman" w:hAnsi="Times New Roman" w:cs="Times New Roman"/>
          <w:sz w:val="28"/>
          <w:szCs w:val="28"/>
        </w:rPr>
        <w:t>Ліцензійних умов провадження господарської діяльності з виробництва</w:t>
      </w:r>
      <w:r w:rsidR="002652CF" w:rsidRPr="009B6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634D">
        <w:rPr>
          <w:rFonts w:ascii="Times New Roman" w:eastAsia="Times New Roman" w:hAnsi="Times New Roman" w:cs="Times New Roman"/>
          <w:sz w:val="28"/>
          <w:szCs w:val="28"/>
        </w:rPr>
        <w:t>лікарських засобів, оптової та роздрібної торгівлі лікарськими засобами,</w:t>
      </w:r>
      <w:r w:rsidR="002652CF" w:rsidRPr="009B6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634D">
        <w:rPr>
          <w:rFonts w:ascii="Times New Roman" w:eastAsia="Times New Roman" w:hAnsi="Times New Roman" w:cs="Times New Roman"/>
          <w:sz w:val="28"/>
          <w:szCs w:val="28"/>
        </w:rPr>
        <w:t xml:space="preserve">імпорту лікарських засобів (крім активних фармацевтичних інгредієнтів)» з метою приведення </w:t>
      </w:r>
      <w:r w:rsidR="002652CF" w:rsidRPr="009B634D">
        <w:rPr>
          <w:rFonts w:ascii="Times New Roman" w:eastAsia="Times New Roman" w:hAnsi="Times New Roman" w:cs="Times New Roman"/>
          <w:sz w:val="28"/>
          <w:szCs w:val="28"/>
        </w:rPr>
        <w:t xml:space="preserve">Ліцензійних умов </w:t>
      </w:r>
      <w:r w:rsidRPr="009B634D">
        <w:rPr>
          <w:rFonts w:ascii="Times New Roman" w:eastAsia="Times New Roman" w:hAnsi="Times New Roman" w:cs="Times New Roman"/>
          <w:sz w:val="28"/>
          <w:szCs w:val="28"/>
        </w:rPr>
        <w:t>у відповідність до чинного законодавства України у сфері освіти та професій кваліфікаційних вимог до працівників суб’єктів господарювання (</w:t>
      </w:r>
      <w:proofErr w:type="spellStart"/>
      <w:r w:rsidRPr="009B634D">
        <w:rPr>
          <w:rFonts w:ascii="Times New Roman" w:eastAsia="Times New Roman" w:hAnsi="Times New Roman" w:cs="Times New Roman"/>
          <w:sz w:val="28"/>
          <w:szCs w:val="28"/>
        </w:rPr>
        <w:t>ліцензіататів</w:t>
      </w:r>
      <w:proofErr w:type="spellEnd"/>
      <w:r w:rsidRPr="009B634D">
        <w:rPr>
          <w:rFonts w:ascii="Times New Roman" w:eastAsia="Times New Roman" w:hAnsi="Times New Roman" w:cs="Times New Roman"/>
          <w:sz w:val="28"/>
          <w:szCs w:val="28"/>
        </w:rPr>
        <w:t xml:space="preserve">), які </w:t>
      </w:r>
      <w:r w:rsidRPr="009B634D">
        <w:rPr>
          <w:rFonts w:ascii="Times New Roman" w:eastAsia="Times New Roman" w:hAnsi="Times New Roman" w:cs="Times New Roman"/>
          <w:sz w:val="28"/>
          <w:szCs w:val="28"/>
        </w:rPr>
        <w:lastRenderedPageBreak/>
        <w:t>здійснюють професійну фармацевтичну діяльність.</w:t>
      </w:r>
    </w:p>
    <w:p w14:paraId="7CF00905" w14:textId="252A1451" w:rsidR="00EA3531" w:rsidRPr="009B634D" w:rsidRDefault="00C76A11" w:rsidP="009B634D">
      <w:pPr>
        <w:widowControl w:val="0"/>
        <w:shd w:val="clear" w:color="auto" w:fill="FFFFFF"/>
        <w:tabs>
          <w:tab w:val="left" w:pos="921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34D">
        <w:rPr>
          <w:rFonts w:ascii="Times New Roman" w:eastAsia="Times New Roman" w:hAnsi="Times New Roman" w:cs="Times New Roman"/>
          <w:sz w:val="28"/>
          <w:szCs w:val="28"/>
        </w:rPr>
        <w:t xml:space="preserve">Запропоновані </w:t>
      </w:r>
      <w:proofErr w:type="spellStart"/>
      <w:r w:rsidRPr="009B634D">
        <w:rPr>
          <w:rFonts w:ascii="Times New Roman" w:eastAsia="Times New Roman" w:hAnsi="Times New Roman" w:cs="Times New Roman"/>
          <w:sz w:val="28"/>
          <w:szCs w:val="28"/>
        </w:rPr>
        <w:t>проєктом</w:t>
      </w:r>
      <w:proofErr w:type="spellEnd"/>
      <w:r w:rsidRPr="009B634D">
        <w:rPr>
          <w:rFonts w:ascii="Times New Roman" w:eastAsia="Times New Roman" w:hAnsi="Times New Roman" w:cs="Times New Roman"/>
          <w:sz w:val="28"/>
          <w:szCs w:val="28"/>
        </w:rPr>
        <w:t xml:space="preserve"> зміни дозволять затвердити чіткі та прозорі норми державного регулювання (планування) </w:t>
      </w:r>
      <w:r w:rsidR="00EA3531" w:rsidRPr="009B634D">
        <w:rPr>
          <w:rFonts w:ascii="Times New Roman" w:eastAsia="Times New Roman" w:hAnsi="Times New Roman" w:cs="Times New Roman"/>
          <w:sz w:val="28"/>
          <w:szCs w:val="28"/>
        </w:rPr>
        <w:t>шляхом викладення в новій редакції  пунктів або окремих абзаців пунктів Ліцензійних умов (п. 3, 148, 151, 165, 167, 181, 184, 184 7 ) Ліцензійних умов, що визначають кваліфікаційні вимоги до працівників суб’єктів господарювання (</w:t>
      </w:r>
      <w:proofErr w:type="spellStart"/>
      <w:r w:rsidR="00EA3531" w:rsidRPr="009B634D">
        <w:rPr>
          <w:rFonts w:ascii="Times New Roman" w:eastAsia="Times New Roman" w:hAnsi="Times New Roman" w:cs="Times New Roman"/>
          <w:sz w:val="28"/>
          <w:szCs w:val="28"/>
        </w:rPr>
        <w:t>ліцензіататів</w:t>
      </w:r>
      <w:proofErr w:type="spellEnd"/>
      <w:r w:rsidR="00EA3531" w:rsidRPr="009B634D">
        <w:rPr>
          <w:rFonts w:ascii="Times New Roman" w:eastAsia="Times New Roman" w:hAnsi="Times New Roman" w:cs="Times New Roman"/>
          <w:sz w:val="28"/>
          <w:szCs w:val="28"/>
        </w:rPr>
        <w:t>), які здійснюють професійну діяльність з виробництва лікарських засобів, оптової та роздрібної торгівлі лікарськими засобами, імпорту лікарських засобів.</w:t>
      </w:r>
    </w:p>
    <w:p w14:paraId="4CAFBCDE" w14:textId="4A6B0FA4" w:rsidR="00CC3F05" w:rsidRPr="009B634D" w:rsidRDefault="00C76A11" w:rsidP="009B634D">
      <w:pPr>
        <w:widowControl w:val="0"/>
        <w:shd w:val="clear" w:color="auto" w:fill="FFFFFF"/>
        <w:tabs>
          <w:tab w:val="left" w:pos="921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34D">
        <w:rPr>
          <w:rFonts w:ascii="Times New Roman" w:eastAsia="Times New Roman" w:hAnsi="Times New Roman" w:cs="Times New Roman"/>
          <w:sz w:val="28"/>
          <w:szCs w:val="28"/>
        </w:rPr>
        <w:t>Забезпечить:</w:t>
      </w:r>
    </w:p>
    <w:p w14:paraId="30B74704" w14:textId="36E439A4" w:rsidR="00EA3531" w:rsidRPr="009B634D" w:rsidRDefault="00EA3531" w:rsidP="009B634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32323"/>
          <w:sz w:val="28"/>
          <w:szCs w:val="28"/>
        </w:rPr>
      </w:pPr>
      <w:r w:rsidRPr="009B634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C7A08">
        <w:rPr>
          <w:rFonts w:ascii="Times New Roman" w:eastAsia="Times New Roman" w:hAnsi="Times New Roman" w:cs="Times New Roman"/>
          <w:color w:val="000000"/>
          <w:sz w:val="28"/>
          <w:szCs w:val="28"/>
        </w:rPr>
        <w:t>риведенн</w:t>
      </w:r>
      <w:r w:rsidRPr="009B634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C7A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B634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C7A08">
        <w:rPr>
          <w:rFonts w:ascii="Times New Roman" w:eastAsia="Times New Roman" w:hAnsi="Times New Roman" w:cs="Times New Roman"/>
          <w:color w:val="000000"/>
          <w:sz w:val="28"/>
          <w:szCs w:val="28"/>
        </w:rPr>
        <w:t>іцензійних умов у відповідність до змін у законодавстві</w:t>
      </w:r>
      <w:r w:rsidRPr="009B634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BC7A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22C3561" w14:textId="2559E6D6" w:rsidR="00EA3531" w:rsidRPr="009B634D" w:rsidRDefault="00EA3531" w:rsidP="009B634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32323"/>
          <w:sz w:val="28"/>
          <w:szCs w:val="28"/>
        </w:rPr>
      </w:pPr>
      <w:r w:rsidRPr="009B634D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підвищення </w:t>
      </w:r>
      <w:r w:rsidRPr="00BC7A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рівня </w:t>
      </w:r>
      <w:r w:rsidRPr="009B6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освіти фармацевтів-інтернів та </w:t>
      </w:r>
      <w:r w:rsidRPr="00BC7A08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професійної кваліфікації працівників суб’єктів господарювання, які відповідають за якість лікарських засобів</w:t>
      </w:r>
      <w:r w:rsidRPr="009B6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їх реалізацію;</w:t>
      </w:r>
    </w:p>
    <w:p w14:paraId="3BB21748" w14:textId="77777777" w:rsidR="00EA3531" w:rsidRPr="009B634D" w:rsidRDefault="00EA3531" w:rsidP="009B634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34D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зниження </w:t>
      </w:r>
      <w:r w:rsidRPr="00BC7A08">
        <w:rPr>
          <w:rFonts w:ascii="Times New Roman" w:eastAsia="Times New Roman" w:hAnsi="Times New Roman" w:cs="Times New Roman"/>
          <w:color w:val="000000"/>
          <w:sz w:val="28"/>
          <w:szCs w:val="28"/>
        </w:rPr>
        <w:t>ризиків, пов’язаних із порушенням вимог якості лікарських засобів</w:t>
      </w:r>
      <w:r w:rsidRPr="009B634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2C89BC6" w14:textId="76FB579E" w:rsidR="00EA3531" w:rsidRPr="00E66FBF" w:rsidRDefault="00EA3531" w:rsidP="009B634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34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66FBF">
        <w:rPr>
          <w:rFonts w:ascii="Times New Roman" w:eastAsia="Times New Roman" w:hAnsi="Times New Roman" w:cs="Times New Roman"/>
          <w:color w:val="000000"/>
          <w:sz w:val="28"/>
          <w:szCs w:val="28"/>
        </w:rPr>
        <w:t>окращенн</w:t>
      </w:r>
      <w:r w:rsidRPr="009B634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66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доступності фармацевтичн</w:t>
      </w:r>
      <w:r w:rsidRPr="009B6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послуг </w:t>
      </w:r>
      <w:r w:rsidRPr="00E66FBF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населення, особливо у сільській місцевості.</w:t>
      </w:r>
    </w:p>
    <w:p w14:paraId="5F4A29B0" w14:textId="77777777" w:rsidR="00712DD7" w:rsidRPr="009B634D" w:rsidRDefault="00712DD7" w:rsidP="009B634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32323"/>
          <w:sz w:val="28"/>
          <w:szCs w:val="28"/>
        </w:rPr>
      </w:pPr>
      <w:r w:rsidRPr="009B634D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 Ефективність запропонованого регуляторного </w:t>
      </w:r>
      <w:proofErr w:type="spellStart"/>
      <w:r w:rsidRPr="009B634D">
        <w:rPr>
          <w:rFonts w:ascii="Times New Roman" w:eastAsia="Times New Roman" w:hAnsi="Times New Roman" w:cs="Times New Roman"/>
          <w:color w:val="232323"/>
          <w:sz w:val="28"/>
          <w:szCs w:val="28"/>
        </w:rPr>
        <w:t>акта</w:t>
      </w:r>
      <w:proofErr w:type="spellEnd"/>
      <w:r w:rsidRPr="009B634D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 забезпечуватиметься за рахунок встановлення чітких вимог (зокрема кадрових) до суб’єктів господарювання, що планують провадити господарську діяльність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 та за рахунок встановлення чітких вимог до суб’єктів господарювання, що планують провадити господарську діяльність з електронної роздрібної торгівлі лікарськими засобами.</w:t>
      </w:r>
    </w:p>
    <w:p w14:paraId="0843EBBC" w14:textId="40AD3C59" w:rsidR="00EA3531" w:rsidRPr="009B634D" w:rsidRDefault="00712DD7" w:rsidP="009B634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32323"/>
          <w:sz w:val="28"/>
          <w:szCs w:val="28"/>
        </w:rPr>
      </w:pPr>
      <w:r w:rsidRPr="009B634D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Державний нагляд за додержанням вимог </w:t>
      </w:r>
      <w:proofErr w:type="spellStart"/>
      <w:r w:rsidRPr="009B634D">
        <w:rPr>
          <w:rFonts w:ascii="Times New Roman" w:eastAsia="Times New Roman" w:hAnsi="Times New Roman" w:cs="Times New Roman"/>
          <w:color w:val="232323"/>
          <w:sz w:val="28"/>
          <w:szCs w:val="28"/>
        </w:rPr>
        <w:t>проєкту</w:t>
      </w:r>
      <w:proofErr w:type="spellEnd"/>
      <w:r w:rsidRPr="009B634D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 </w:t>
      </w:r>
      <w:proofErr w:type="spellStart"/>
      <w:r w:rsidRPr="009B634D">
        <w:rPr>
          <w:rFonts w:ascii="Times New Roman" w:eastAsia="Times New Roman" w:hAnsi="Times New Roman" w:cs="Times New Roman"/>
          <w:color w:val="232323"/>
          <w:sz w:val="28"/>
          <w:szCs w:val="28"/>
        </w:rPr>
        <w:t>акта</w:t>
      </w:r>
      <w:proofErr w:type="spellEnd"/>
      <w:r w:rsidRPr="009B634D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 здійснюватиметься Державною службою України з лікарських засобів та контролю за наркотиками.</w:t>
      </w:r>
    </w:p>
    <w:p w14:paraId="00545F69" w14:textId="77777777" w:rsidR="00CC3F05" w:rsidRPr="009B634D" w:rsidRDefault="00CC3F05" w:rsidP="009B634D">
      <w:pPr>
        <w:widowControl w:val="0"/>
        <w:shd w:val="clear" w:color="auto" w:fill="FFFFFF"/>
        <w:tabs>
          <w:tab w:val="left" w:pos="921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DCEB94" w14:textId="77777777" w:rsidR="00CC3F05" w:rsidRPr="009B634D" w:rsidRDefault="00C76A11" w:rsidP="009B634D">
      <w:pPr>
        <w:widowControl w:val="0"/>
        <w:shd w:val="clear" w:color="auto" w:fill="FFFFFF"/>
        <w:tabs>
          <w:tab w:val="left" w:pos="9214"/>
        </w:tabs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B63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VI. Оцінка виконання вимог регуляторного </w:t>
      </w:r>
      <w:proofErr w:type="spellStart"/>
      <w:r w:rsidRPr="009B63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акта</w:t>
      </w:r>
      <w:proofErr w:type="spellEnd"/>
      <w:r w:rsidRPr="009B63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залежно від 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  <w:bookmarkStart w:id="3" w:name="tyjcwt" w:colFirst="0" w:colLast="0"/>
      <w:bookmarkEnd w:id="3"/>
    </w:p>
    <w:p w14:paraId="19465B98" w14:textId="51DE6E1F" w:rsidR="00CC3F05" w:rsidRPr="009B634D" w:rsidRDefault="00C76A11" w:rsidP="009B634D">
      <w:pPr>
        <w:widowControl w:val="0"/>
        <w:tabs>
          <w:tab w:val="left" w:pos="-3686"/>
          <w:tab w:val="left" w:pos="990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634D">
        <w:rPr>
          <w:rFonts w:ascii="Times New Roman" w:eastAsia="Times New Roman" w:hAnsi="Times New Roman" w:cs="Times New Roman"/>
          <w:sz w:val="28"/>
          <w:szCs w:val="28"/>
        </w:rPr>
        <w:t>Регулювання не передбачає необхідності витрат з боку органів виконавчої влади чи органів місцевого самоврядування</w:t>
      </w:r>
      <w:r w:rsidR="009B634D" w:rsidRPr="009B634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0868E1" w14:textId="56534209" w:rsidR="009B634D" w:rsidRPr="009B634D" w:rsidRDefault="00C76A11" w:rsidP="009B634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34D">
        <w:rPr>
          <w:rFonts w:ascii="Times New Roman" w:eastAsia="Times New Roman" w:hAnsi="Times New Roman" w:cs="Times New Roman"/>
          <w:sz w:val="28"/>
          <w:szCs w:val="28"/>
        </w:rPr>
        <w:t xml:space="preserve">Розрахунки витрат суб’єктів господарювання великого і середнього підприємництва </w:t>
      </w:r>
      <w:r w:rsidR="009B634D" w:rsidRPr="009B634D">
        <w:rPr>
          <w:rFonts w:ascii="Times New Roman" w:eastAsia="Times New Roman" w:hAnsi="Times New Roman" w:cs="Times New Roman"/>
          <w:sz w:val="28"/>
          <w:szCs w:val="28"/>
        </w:rPr>
        <w:t>наведено у пункту 3 розділу ІІІ цього Аналізу.</w:t>
      </w:r>
    </w:p>
    <w:p w14:paraId="6C39A4D0" w14:textId="23AC6A83" w:rsidR="00CC3F05" w:rsidRPr="009B634D" w:rsidRDefault="00C76A11" w:rsidP="009B634D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34D">
        <w:rPr>
          <w:rFonts w:ascii="Times New Roman" w:eastAsia="Times New Roman" w:hAnsi="Times New Roman" w:cs="Times New Roman"/>
          <w:sz w:val="28"/>
          <w:szCs w:val="28"/>
        </w:rPr>
        <w:t>Розрахунки витрат суб’єктів малого підприємництва наведено в додатку  до цього Аналізу.</w:t>
      </w:r>
    </w:p>
    <w:p w14:paraId="7A74B1D3" w14:textId="77777777" w:rsidR="00CC3F05" w:rsidRPr="009B634D" w:rsidRDefault="00C76A11" w:rsidP="009B634D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Оцінка виконання вимог регулювання, а саме, </w:t>
      </w:r>
      <w:proofErr w:type="spellStart"/>
      <w:r w:rsidRPr="009B6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вигод</w:t>
      </w:r>
      <w:proofErr w:type="spellEnd"/>
      <w:r w:rsidRPr="009B6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і витрат суб’єктів господарювання та держави здійснена в рамках розділу III цього Аналізу (Визначення та оцінка альтернативних способів досягнення цілей).</w:t>
      </w:r>
    </w:p>
    <w:p w14:paraId="69D6EC01" w14:textId="77777777" w:rsidR="00CC3F05" w:rsidRPr="009B634D" w:rsidRDefault="00CC3F05" w:rsidP="009B634D">
      <w:pPr>
        <w:widowControl w:val="0"/>
        <w:shd w:val="clear" w:color="auto" w:fill="FFFFFF"/>
        <w:tabs>
          <w:tab w:val="left" w:pos="9214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528C20B" w14:textId="77777777" w:rsidR="00CC3F05" w:rsidRPr="009B634D" w:rsidRDefault="00C76A11" w:rsidP="009B634D">
      <w:pPr>
        <w:widowControl w:val="0"/>
        <w:shd w:val="clear" w:color="auto" w:fill="FFFFFF"/>
        <w:tabs>
          <w:tab w:val="left" w:pos="9214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3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VII. Обґрунтування запропонованого строку дії регуляторного </w:t>
      </w:r>
      <w:proofErr w:type="spellStart"/>
      <w:r w:rsidRPr="009B63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акта</w:t>
      </w:r>
      <w:proofErr w:type="spellEnd"/>
    </w:p>
    <w:p w14:paraId="37A91E7A" w14:textId="77777777" w:rsidR="00CC3F05" w:rsidRPr="009B634D" w:rsidRDefault="00C76A11" w:rsidP="009B634D">
      <w:pPr>
        <w:widowControl w:val="0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Пропонується встановити необмежений строк дії регуляторного </w:t>
      </w:r>
      <w:proofErr w:type="spellStart"/>
      <w:r w:rsidRPr="009B6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акта</w:t>
      </w:r>
      <w:proofErr w:type="spellEnd"/>
      <w:r w:rsidRPr="009B6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що є достатнім для розв’язання поставлених проблем та співвідноситься з цілями його прийняття.</w:t>
      </w:r>
    </w:p>
    <w:p w14:paraId="6E02F92C" w14:textId="77777777" w:rsidR="00CC3F05" w:rsidRPr="009B634D" w:rsidRDefault="00C76A11" w:rsidP="009B634D">
      <w:pPr>
        <w:widowControl w:val="0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Зміни до регуляторного </w:t>
      </w:r>
      <w:proofErr w:type="spellStart"/>
      <w:r w:rsidRPr="009B6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акта</w:t>
      </w:r>
      <w:proofErr w:type="spellEnd"/>
      <w:r w:rsidRPr="009B6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вносяться у разі потреби та у разі внесення змін </w:t>
      </w:r>
      <w:r w:rsidRPr="009B6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до чинного законодавства.</w:t>
      </w:r>
    </w:p>
    <w:p w14:paraId="031DF870" w14:textId="77777777" w:rsidR="00CC3F05" w:rsidRPr="009B634D" w:rsidRDefault="00C76A11" w:rsidP="009B634D">
      <w:pPr>
        <w:tabs>
          <w:tab w:val="left" w:pos="528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випадку прийняття </w:t>
      </w:r>
      <w:proofErr w:type="spellStart"/>
      <w:r w:rsidRPr="009B6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проєкт</w:t>
      </w:r>
      <w:proofErr w:type="spellEnd"/>
      <w:r w:rsidRPr="009B6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постанови набере чинності з дня її опублікування.</w:t>
      </w:r>
    </w:p>
    <w:p w14:paraId="2FD08015" w14:textId="77777777" w:rsidR="00CC3F05" w:rsidRPr="009B634D" w:rsidRDefault="00CC3F05" w:rsidP="009B634D">
      <w:pPr>
        <w:widowControl w:val="0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CCE8397" w14:textId="77777777" w:rsidR="00CC3F05" w:rsidRPr="009B634D" w:rsidRDefault="00C76A11" w:rsidP="009B634D">
      <w:pPr>
        <w:widowControl w:val="0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B63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VIII. Визначення показників результативності дії регуляторного </w:t>
      </w:r>
      <w:proofErr w:type="spellStart"/>
      <w:r w:rsidRPr="009B63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акта</w:t>
      </w:r>
      <w:proofErr w:type="spellEnd"/>
    </w:p>
    <w:p w14:paraId="499B2028" w14:textId="77777777" w:rsidR="00CC3F05" w:rsidRPr="009B634D" w:rsidRDefault="00C76A11" w:rsidP="009B634D">
      <w:pPr>
        <w:widowControl w:val="0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Прогнозні значення показників результативності регуляторного </w:t>
      </w:r>
      <w:proofErr w:type="spellStart"/>
      <w:r w:rsidRPr="009B6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акта</w:t>
      </w:r>
      <w:proofErr w:type="spellEnd"/>
      <w:r w:rsidRPr="009B6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5F2D7260" w14:textId="77777777" w:rsidR="00CC3F05" w:rsidRPr="009B634D" w:rsidRDefault="00C76A11" w:rsidP="009B634D">
      <w:pPr>
        <w:widowControl w:val="0"/>
        <w:tabs>
          <w:tab w:val="left" w:pos="709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 Надходження до державного та місцевих бюджетів і державних цільових фондів, пов’язаних з дією </w:t>
      </w:r>
      <w:proofErr w:type="spellStart"/>
      <w:r w:rsidRPr="009B6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акта</w:t>
      </w:r>
      <w:proofErr w:type="spellEnd"/>
      <w:r w:rsidRPr="009B6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не передбачаються.</w:t>
      </w:r>
    </w:p>
    <w:p w14:paraId="6D89B087" w14:textId="77777777" w:rsidR="00CC3F05" w:rsidRPr="009B634D" w:rsidRDefault="00C76A11" w:rsidP="009B634D">
      <w:pPr>
        <w:widowControl w:val="0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 Кількість суб’єктів господарювання та/або фізичних осіб, на які поширюватиметься дія акту – дія акту поширюється на усіх суб’єктів господарювання (резидентів та нерезидентів), що мають ліцензію на провадження господарської діяльності з роздрібної торгівлі лікарськими засобами – 6765.</w:t>
      </w:r>
    </w:p>
    <w:p w14:paraId="56461B36" w14:textId="77777777" w:rsidR="00CC3F05" w:rsidRPr="009B634D" w:rsidRDefault="00C76A11" w:rsidP="009B634D">
      <w:pPr>
        <w:widowControl w:val="0"/>
        <w:tabs>
          <w:tab w:val="left" w:pos="709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 Кошти та час, що витрачатиметься суб'єктами господарювання та/або фізичними особами, пов'язаними з виконанням вимог </w:t>
      </w:r>
      <w:proofErr w:type="spellStart"/>
      <w:r w:rsidRPr="009B6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акта</w:t>
      </w:r>
      <w:proofErr w:type="spellEnd"/>
      <w:r w:rsidRPr="009B6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1C2406C1" w14:textId="346E4339" w:rsidR="001D7C61" w:rsidRPr="009B634D" w:rsidRDefault="001D7C61" w:rsidP="009B634D">
      <w:pPr>
        <w:ind w:firstLine="709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9B634D">
        <w:rPr>
          <w:rFonts w:ascii="Times New Roman" w:hAnsi="Times New Roman" w:cs="Times New Roman"/>
          <w:color w:val="000000"/>
          <w:sz w:val="28"/>
          <w:szCs w:val="28"/>
        </w:rPr>
        <w:t xml:space="preserve">Витрати на ознайомлення з новими вимогами регулювання, приведенням кадрової документації до </w:t>
      </w:r>
      <w:proofErr w:type="spellStart"/>
      <w:r w:rsidRPr="009B634D">
        <w:rPr>
          <w:rFonts w:ascii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Pr="009B634D">
        <w:rPr>
          <w:rFonts w:ascii="Times New Roman" w:hAnsi="Times New Roman" w:cs="Times New Roman"/>
          <w:color w:val="000000"/>
          <w:sz w:val="28"/>
          <w:szCs w:val="28"/>
        </w:rPr>
        <w:t xml:space="preserve"> змін, формування звітної інформації: (</w:t>
      </w:r>
      <w:r w:rsidRPr="009B634D">
        <w:rPr>
          <w:rFonts w:ascii="Times New Roman" w:eastAsia="Times New Roman" w:hAnsi="Times New Roman" w:cs="Times New Roman"/>
          <w:sz w:val="28"/>
          <w:szCs w:val="28"/>
        </w:rPr>
        <w:t>8 год х 48.00 грн)х 6765 суб’єктів господарювання = 2 597 760 грн для всіх суб’єктів господарювання.</w:t>
      </w:r>
    </w:p>
    <w:p w14:paraId="2D23EBDD" w14:textId="77777777" w:rsidR="001D7C61" w:rsidRPr="009B634D" w:rsidRDefault="001D7C61" w:rsidP="009B634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34D">
        <w:rPr>
          <w:rFonts w:ascii="Times New Roman" w:hAnsi="Times New Roman" w:cs="Times New Roman"/>
          <w:color w:val="1F1F1F"/>
          <w:sz w:val="28"/>
          <w:szCs w:val="28"/>
        </w:rPr>
        <w:t xml:space="preserve">Згідно з наказом МОЗ </w:t>
      </w:r>
      <w:r w:rsidRPr="009B634D">
        <w:rPr>
          <w:rFonts w:ascii="Times New Roman" w:eastAsia="Times New Roman" w:hAnsi="Times New Roman" w:cs="Times New Roman"/>
          <w:color w:val="333333"/>
          <w:sz w:val="28"/>
          <w:szCs w:val="28"/>
        </w:rPr>
        <w:t>України</w:t>
      </w:r>
      <w:r w:rsidRPr="009B634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B634D">
        <w:rPr>
          <w:rFonts w:ascii="Times New Roman" w:eastAsia="Times New Roman" w:hAnsi="Times New Roman" w:cs="Times New Roman"/>
          <w:color w:val="333333"/>
          <w:sz w:val="28"/>
          <w:szCs w:val="28"/>
        </w:rPr>
        <w:t>від 25 липня 2023 року № 1347, зареєстрованого в Міністерстві юстиції України 10 серпня 2023 р.</w:t>
      </w:r>
      <w:r w:rsidRPr="009B634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B634D">
        <w:rPr>
          <w:rFonts w:ascii="Times New Roman" w:eastAsia="Times New Roman" w:hAnsi="Times New Roman" w:cs="Times New Roman"/>
          <w:color w:val="333333"/>
          <w:sz w:val="28"/>
          <w:szCs w:val="28"/>
        </w:rPr>
        <w:t>за № 1362/40418</w:t>
      </w:r>
      <w:r w:rsidRPr="009B634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61C3747" w14:textId="77777777" w:rsidR="001D7C61" w:rsidRPr="009B634D" w:rsidRDefault="001D7C61" w:rsidP="009B634D">
      <w:pPr>
        <w:ind w:firstLine="709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9B634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B634D">
        <w:rPr>
          <w:rFonts w:ascii="Times New Roman" w:hAnsi="Times New Roman" w:cs="Times New Roman"/>
          <w:color w:val="1F1F1F"/>
          <w:sz w:val="28"/>
          <w:szCs w:val="28"/>
        </w:rPr>
        <w:t>ередня тривалість циклів тематичного удосконалення становить 1-2 тижні. Середня вартість одного циклу/особу  - 2000 грн.</w:t>
      </w:r>
    </w:p>
    <w:p w14:paraId="13818F43" w14:textId="77777777" w:rsidR="001D7C61" w:rsidRPr="009B634D" w:rsidRDefault="001D7C61" w:rsidP="009B634D">
      <w:pPr>
        <w:ind w:firstLine="709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9B634D">
        <w:rPr>
          <w:rFonts w:ascii="Times New Roman" w:hAnsi="Times New Roman" w:cs="Times New Roman"/>
          <w:color w:val="1F1F1F"/>
          <w:sz w:val="28"/>
          <w:szCs w:val="28"/>
        </w:rPr>
        <w:t xml:space="preserve">Середня кількість працівників (фармацевтів, інтернів), для яких суб’єкти господарювання оплачуватимуть  цикли тематичного  удосконалення в рік: у великих підприємствах для 10 осіб, середніх- 5 осіб; малих- 2 особи; мікро – 1 особи.  </w:t>
      </w:r>
    </w:p>
    <w:p w14:paraId="6C61C977" w14:textId="77777777" w:rsidR="001D7C61" w:rsidRPr="009B634D" w:rsidRDefault="001D7C61" w:rsidP="009B634D">
      <w:pPr>
        <w:ind w:firstLine="709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9B634D">
        <w:rPr>
          <w:rFonts w:ascii="Times New Roman" w:hAnsi="Times New Roman" w:cs="Times New Roman"/>
          <w:color w:val="1F1F1F"/>
          <w:sz w:val="28"/>
          <w:szCs w:val="28"/>
        </w:rPr>
        <w:t>Вартість циклу ТУ для великих підприємств = 120 підприємств х 10 працівників  = 1200 працівників х 2000 грн = 2 400 000 грн;</w:t>
      </w:r>
    </w:p>
    <w:p w14:paraId="7E7AC90C" w14:textId="77777777" w:rsidR="001D7C61" w:rsidRPr="009B634D" w:rsidRDefault="001D7C61" w:rsidP="009B634D">
      <w:pPr>
        <w:ind w:firstLine="709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9B634D">
        <w:rPr>
          <w:rFonts w:ascii="Times New Roman" w:hAnsi="Times New Roman" w:cs="Times New Roman"/>
          <w:color w:val="1F1F1F"/>
          <w:sz w:val="28"/>
          <w:szCs w:val="28"/>
        </w:rPr>
        <w:t>Вартість циклу ТУ для великих підприємств = 630 підприємств х 5 працівників = 3150 працівники х 2000 грн = 6 300 000 грн;</w:t>
      </w:r>
    </w:p>
    <w:p w14:paraId="477FC413" w14:textId="7AEBDC4B" w:rsidR="001D7C61" w:rsidRPr="009B634D" w:rsidRDefault="001D7C61" w:rsidP="009B634D">
      <w:pPr>
        <w:ind w:firstLine="709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9B634D">
        <w:rPr>
          <w:rFonts w:ascii="Times New Roman" w:hAnsi="Times New Roman" w:cs="Times New Roman"/>
          <w:color w:val="1F1F1F"/>
          <w:sz w:val="28"/>
          <w:szCs w:val="28"/>
        </w:rPr>
        <w:t>Вартість циклу ТУ для малих підприємств = 2297 підприємств х 2 працівника</w:t>
      </w:r>
      <w:r w:rsidR="00FF02F8">
        <w:rPr>
          <w:rFonts w:ascii="Times New Roman" w:hAnsi="Times New Roman" w:cs="Times New Roman"/>
          <w:color w:val="1F1F1F"/>
          <w:sz w:val="28"/>
          <w:szCs w:val="28"/>
        </w:rPr>
        <w:t> </w:t>
      </w:r>
      <w:r w:rsidRPr="009B634D">
        <w:rPr>
          <w:rFonts w:ascii="Times New Roman" w:hAnsi="Times New Roman" w:cs="Times New Roman"/>
          <w:color w:val="1F1F1F"/>
          <w:sz w:val="28"/>
          <w:szCs w:val="28"/>
        </w:rPr>
        <w:t xml:space="preserve">= 4 594 працівника х 2000 грн = 9 188 000 грн; </w:t>
      </w:r>
    </w:p>
    <w:p w14:paraId="0B91EA57" w14:textId="529089CD" w:rsidR="001D7C61" w:rsidRPr="009B634D" w:rsidRDefault="001D7C61" w:rsidP="009B634D">
      <w:pPr>
        <w:ind w:firstLine="709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9B634D">
        <w:rPr>
          <w:rFonts w:ascii="Times New Roman" w:hAnsi="Times New Roman" w:cs="Times New Roman"/>
          <w:color w:val="1F1F1F"/>
          <w:sz w:val="28"/>
          <w:szCs w:val="28"/>
        </w:rPr>
        <w:t>Вартість циклу ТУ для мікро підприємств = 3718 підприємств х 1 працівника</w:t>
      </w:r>
      <w:r w:rsidR="00FF02F8">
        <w:rPr>
          <w:rFonts w:ascii="Times New Roman" w:hAnsi="Times New Roman" w:cs="Times New Roman"/>
          <w:color w:val="1F1F1F"/>
          <w:sz w:val="28"/>
          <w:szCs w:val="28"/>
        </w:rPr>
        <w:t> </w:t>
      </w:r>
      <w:r w:rsidRPr="009B634D">
        <w:rPr>
          <w:rFonts w:ascii="Times New Roman" w:hAnsi="Times New Roman" w:cs="Times New Roman"/>
          <w:color w:val="1F1F1F"/>
          <w:sz w:val="28"/>
          <w:szCs w:val="28"/>
        </w:rPr>
        <w:t xml:space="preserve">= 3718 працівника х 2000 грн = 7 436 000 грн; </w:t>
      </w:r>
    </w:p>
    <w:p w14:paraId="77D7D27C" w14:textId="77777777" w:rsidR="001D7C61" w:rsidRPr="009B634D" w:rsidRDefault="001D7C61" w:rsidP="009B634D">
      <w:pPr>
        <w:ind w:firstLine="709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9B634D">
        <w:rPr>
          <w:rFonts w:ascii="Times New Roman" w:hAnsi="Times New Roman" w:cs="Times New Roman"/>
          <w:color w:val="1F1F1F"/>
          <w:sz w:val="28"/>
          <w:szCs w:val="28"/>
        </w:rPr>
        <w:t>Вартість циклів ТУ для всіх суб’єктів = 19 654 000 грн.</w:t>
      </w:r>
    </w:p>
    <w:p w14:paraId="2DB2D8CF" w14:textId="77777777" w:rsidR="001D7C61" w:rsidRPr="009B634D" w:rsidRDefault="001D7C61" w:rsidP="009B634D">
      <w:pPr>
        <w:ind w:firstLine="709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9B634D">
        <w:rPr>
          <w:rFonts w:ascii="Times New Roman" w:hAnsi="Times New Roman" w:cs="Times New Roman"/>
          <w:color w:val="1F1F1F"/>
          <w:sz w:val="28"/>
          <w:szCs w:val="28"/>
        </w:rPr>
        <w:t>Вартість оплати для всіх суб’єктів господарювання становитиме 25 324 000 грн.</w:t>
      </w:r>
    </w:p>
    <w:p w14:paraId="4134371E" w14:textId="77777777" w:rsidR="001D7C61" w:rsidRPr="009B634D" w:rsidRDefault="001D7C61" w:rsidP="009B634D">
      <w:pPr>
        <w:ind w:firstLine="709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9B634D">
        <w:rPr>
          <w:rFonts w:ascii="Times New Roman" w:hAnsi="Times New Roman" w:cs="Times New Roman"/>
          <w:color w:val="1F1F1F"/>
          <w:sz w:val="28"/>
          <w:szCs w:val="28"/>
        </w:rPr>
        <w:t>Сумарна вартість витрат = 27 921 760 грн.</w:t>
      </w:r>
    </w:p>
    <w:p w14:paraId="1CBDAA55" w14:textId="77777777" w:rsidR="00CC3F05" w:rsidRPr="009B634D" w:rsidRDefault="00C76A11" w:rsidP="009B634D">
      <w:pPr>
        <w:widowControl w:val="0"/>
        <w:tabs>
          <w:tab w:val="left" w:pos="709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 Державний нагляд (контроль) за діяльністю суб’єктів господарювання здійснюватиметься відповідно до норм встановлених законом.</w:t>
      </w:r>
    </w:p>
    <w:p w14:paraId="333C3D5F" w14:textId="77777777" w:rsidR="00CC3F05" w:rsidRPr="009B634D" w:rsidRDefault="00C76A11" w:rsidP="009B634D">
      <w:pPr>
        <w:widowControl w:val="0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 Рівень поінформованості із основними положеннями </w:t>
      </w:r>
      <w:proofErr w:type="spellStart"/>
      <w:r w:rsidRPr="009B6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проєкту</w:t>
      </w:r>
      <w:proofErr w:type="spellEnd"/>
      <w:r w:rsidRPr="009B6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регуляторного </w:t>
      </w:r>
      <w:proofErr w:type="spellStart"/>
      <w:r w:rsidRPr="009B6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акта</w:t>
      </w:r>
      <w:proofErr w:type="spellEnd"/>
      <w:r w:rsidRPr="009B6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високий, оскільки </w:t>
      </w:r>
      <w:proofErr w:type="spellStart"/>
      <w:r w:rsidRPr="009B6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проєкт</w:t>
      </w:r>
      <w:proofErr w:type="spellEnd"/>
      <w:r w:rsidRPr="009B6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постанови розміщений на офіційному </w:t>
      </w:r>
      <w:proofErr w:type="spellStart"/>
      <w:r w:rsidRPr="009B6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вебсайті</w:t>
      </w:r>
      <w:proofErr w:type="spellEnd"/>
      <w:r w:rsidRPr="009B6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Державної служби України з лікарських засобів та контролю за наркотиками.</w:t>
      </w:r>
    </w:p>
    <w:p w14:paraId="26BDEF39" w14:textId="7C6AD718" w:rsidR="0092782E" w:rsidRPr="00E66FBF" w:rsidRDefault="0092782E" w:rsidP="009B634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Додатковими показниками результативності регуляторного </w:t>
      </w:r>
      <w:proofErr w:type="spellStart"/>
      <w:r w:rsidRPr="009B6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акта</w:t>
      </w:r>
      <w:proofErr w:type="spellEnd"/>
      <w:r w:rsidRPr="009B6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є кількість фармацевтів-інтернів та інших фахівців фармації надають фармацевтичні послуги  </w:t>
      </w:r>
      <w:r w:rsidRPr="00E66F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населення, особливо у сільській місцевості</w:t>
      </w:r>
      <w:r w:rsidRPr="009B6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(кількість працевлаштованих)</w:t>
      </w:r>
      <w:r w:rsidRPr="00E66F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1E2FF56" w14:textId="77777777" w:rsidR="0092782E" w:rsidRPr="009B634D" w:rsidRDefault="0092782E" w:rsidP="009B634D">
      <w:pPr>
        <w:widowControl w:val="0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BED8F6F" w14:textId="77777777" w:rsidR="00CC3F05" w:rsidRPr="009B634D" w:rsidRDefault="00C76A11" w:rsidP="009B634D">
      <w:pPr>
        <w:widowControl w:val="0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3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IX. Визначення заходів, за допомогою яких здійснюватиметься відстеження результативності дії регуляторного </w:t>
      </w:r>
      <w:proofErr w:type="spellStart"/>
      <w:r w:rsidRPr="009B63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акта</w:t>
      </w:r>
      <w:proofErr w:type="spellEnd"/>
    </w:p>
    <w:p w14:paraId="0D211C5B" w14:textId="77777777" w:rsidR="00A6169B" w:rsidRPr="009B634D" w:rsidRDefault="0092782E" w:rsidP="009B634D">
      <w:pPr>
        <w:widowControl w:val="0"/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Базове відстеження результативності регуляторного </w:t>
      </w:r>
      <w:proofErr w:type="spellStart"/>
      <w:r w:rsidRPr="009B6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акта</w:t>
      </w:r>
      <w:proofErr w:type="spellEnd"/>
      <w:r w:rsidRPr="009B6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буде здійснено</w:t>
      </w:r>
      <w:r w:rsidR="00A6169B" w:rsidRPr="009B6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6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після набрання чинності цим актом, але не пізніше дня з якого починається</w:t>
      </w:r>
      <w:r w:rsidR="00A6169B" w:rsidRPr="009B6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6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проведення повторного відстеження результативності цього </w:t>
      </w:r>
      <w:proofErr w:type="spellStart"/>
      <w:r w:rsidRPr="009B6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акта</w:t>
      </w:r>
      <w:proofErr w:type="spellEnd"/>
      <w:r w:rsidRPr="009B6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F748CB1" w14:textId="77777777" w:rsidR="00A6169B" w:rsidRPr="009B634D" w:rsidRDefault="0092782E" w:rsidP="009B634D">
      <w:pPr>
        <w:widowControl w:val="0"/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Повторне відстеження результативності регуляторного </w:t>
      </w:r>
      <w:proofErr w:type="spellStart"/>
      <w:r w:rsidRPr="009B6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акта</w:t>
      </w:r>
      <w:proofErr w:type="spellEnd"/>
      <w:r w:rsidRPr="009B6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буде</w:t>
      </w:r>
      <w:r w:rsidR="00A6169B" w:rsidRPr="009B6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6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проведено через рік з дня набрання ним чинності, але не пізніше двох років з</w:t>
      </w:r>
      <w:r w:rsidR="00A6169B" w:rsidRPr="009B6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6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дня набрання чинності цим актом.</w:t>
      </w:r>
    </w:p>
    <w:p w14:paraId="0AFF0BBA" w14:textId="77777777" w:rsidR="00A6169B" w:rsidRPr="009B634D" w:rsidRDefault="0092782E" w:rsidP="009B634D">
      <w:pPr>
        <w:widowControl w:val="0"/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Періодичні відстеження планується здійснювати раз на кожні три роки</w:t>
      </w:r>
      <w:r w:rsidR="00A6169B" w:rsidRPr="009B6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6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починаючи з дня закінчення заходів з повторного відстеження</w:t>
      </w:r>
      <w:r w:rsidR="00A6169B" w:rsidRPr="009B6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6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результативності цього </w:t>
      </w:r>
      <w:proofErr w:type="spellStart"/>
      <w:r w:rsidRPr="009B6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акта</w:t>
      </w:r>
      <w:proofErr w:type="spellEnd"/>
      <w:r w:rsidRPr="009B6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5237FA1D" w14:textId="3DD3100A" w:rsidR="00CC3F05" w:rsidRPr="009B634D" w:rsidRDefault="0092782E" w:rsidP="00DE778F">
      <w:pPr>
        <w:widowControl w:val="0"/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6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проведення відстеження результативності регуляторного </w:t>
      </w:r>
      <w:proofErr w:type="spellStart"/>
      <w:r w:rsidRPr="009B6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акта</w:t>
      </w:r>
      <w:proofErr w:type="spellEnd"/>
      <w:r w:rsidRPr="009B6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будуть</w:t>
      </w:r>
      <w:r w:rsidR="00A6169B" w:rsidRPr="009B6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6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використовуватись показники, наведені у попередньому розділі.</w:t>
      </w:r>
      <w:r w:rsidR="00A6169B" w:rsidRPr="009B6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6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Відстеження результативності регуляторного </w:t>
      </w:r>
      <w:proofErr w:type="spellStart"/>
      <w:r w:rsidRPr="009B6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акта</w:t>
      </w:r>
      <w:proofErr w:type="spellEnd"/>
      <w:r w:rsidRPr="009B6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буде </w:t>
      </w:r>
      <w:r w:rsidR="00A6169B" w:rsidRPr="009B6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здійснюватися </w:t>
      </w:r>
      <w:r w:rsidRPr="009B6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Державною службою України з лікарських засобів та контролю за</w:t>
      </w:r>
      <w:r w:rsidR="00DE77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6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наркотиками.</w:t>
      </w:r>
    </w:p>
    <w:p w14:paraId="56F0D60F" w14:textId="77777777" w:rsidR="00A6169B" w:rsidRPr="009B634D" w:rsidRDefault="00A6169B" w:rsidP="009B634D">
      <w:pPr>
        <w:widowControl w:val="0"/>
        <w:shd w:val="clear" w:color="auto" w:fill="FFFFFF"/>
        <w:tabs>
          <w:tab w:val="left" w:pos="17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C0613A" w14:textId="79C3DF94" w:rsidR="00A6169B" w:rsidRDefault="00DE778F" w:rsidP="009B634D">
      <w:pPr>
        <w:tabs>
          <w:tab w:val="left" w:pos="1800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Держлікслужби</w:t>
      </w:r>
      <w:proofErr w:type="spellEnd"/>
      <w:r w:rsidR="00A6169B" w:rsidRPr="009B63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</w:t>
      </w:r>
      <w:r w:rsidR="00AC64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Роман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САЄНКО</w:t>
      </w:r>
    </w:p>
    <w:p w14:paraId="6A652F51" w14:textId="77777777" w:rsidR="00DE778F" w:rsidRPr="00DE778F" w:rsidRDefault="00DE778F" w:rsidP="009B634D">
      <w:pPr>
        <w:tabs>
          <w:tab w:val="left" w:pos="1800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19987FA7" w14:textId="3A6D0E40" w:rsidR="00CC3F05" w:rsidRPr="009B634D" w:rsidRDefault="00A6169B" w:rsidP="009B634D">
      <w:pPr>
        <w:tabs>
          <w:tab w:val="left" w:pos="1800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B63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«____» ____________2025 р.</w:t>
      </w:r>
    </w:p>
    <w:p w14:paraId="04C88838" w14:textId="1C1E6D17" w:rsidR="00A6169B" w:rsidRPr="009B634D" w:rsidRDefault="00A6169B" w:rsidP="009B634D">
      <w:pPr>
        <w:tabs>
          <w:tab w:val="left" w:pos="1800"/>
        </w:tabs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64BCD4B" w14:textId="350F8A18" w:rsidR="00A6169B" w:rsidRPr="009B634D" w:rsidRDefault="00A6169B" w:rsidP="009B634D">
      <w:pPr>
        <w:tabs>
          <w:tab w:val="left" w:pos="1800"/>
        </w:tabs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DC7BF5D" w14:textId="13052270" w:rsidR="00A6169B" w:rsidRPr="009B634D" w:rsidRDefault="00A6169B" w:rsidP="009B634D">
      <w:pPr>
        <w:tabs>
          <w:tab w:val="left" w:pos="1800"/>
        </w:tabs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9EBE805" w14:textId="77777777" w:rsidR="001D7C61" w:rsidRPr="009B634D" w:rsidRDefault="001D7C61" w:rsidP="009B634D">
      <w:pPr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FF77F96" w14:textId="77777777" w:rsidR="001D7C61" w:rsidRPr="009B634D" w:rsidRDefault="001D7C61" w:rsidP="009B634D">
      <w:pPr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3F37DCC" w14:textId="77777777" w:rsidR="001D7C61" w:rsidRPr="009B634D" w:rsidRDefault="001D7C61" w:rsidP="009B634D">
      <w:pPr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E8E2615" w14:textId="77777777" w:rsidR="001D7C61" w:rsidRPr="009B634D" w:rsidRDefault="001D7C61" w:rsidP="009B634D">
      <w:pPr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C5DA4A4" w14:textId="77777777" w:rsidR="001D7C61" w:rsidRPr="009B634D" w:rsidRDefault="001D7C61" w:rsidP="009B634D">
      <w:pPr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9D373A9" w14:textId="77777777" w:rsidR="001D7C61" w:rsidRPr="009B634D" w:rsidRDefault="001D7C61" w:rsidP="009B634D">
      <w:pPr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6F540D9" w14:textId="77777777" w:rsidR="001D7C61" w:rsidRPr="009B634D" w:rsidRDefault="001D7C61" w:rsidP="009B634D">
      <w:pPr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DBE1A26" w14:textId="77777777" w:rsidR="001D7C61" w:rsidRPr="009B634D" w:rsidRDefault="001D7C61" w:rsidP="009B634D">
      <w:pPr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9044B1D" w14:textId="77777777" w:rsidR="001D7C61" w:rsidRPr="009B634D" w:rsidRDefault="001D7C61" w:rsidP="009B634D">
      <w:pPr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66C948C" w14:textId="77777777" w:rsidR="001D7C61" w:rsidRPr="009B634D" w:rsidRDefault="001D7C61" w:rsidP="009B634D">
      <w:pPr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B9ABCC6" w14:textId="53194383" w:rsidR="001D7C61" w:rsidRPr="009B634D" w:rsidRDefault="001D7C61" w:rsidP="009B634D">
      <w:pPr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B3FD62E" w14:textId="77777777" w:rsidR="009B634D" w:rsidRPr="009B634D" w:rsidRDefault="009B634D" w:rsidP="009B634D">
      <w:pPr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DF9671A" w14:textId="77777777" w:rsidR="00FF02F8" w:rsidRDefault="00FF02F8" w:rsidP="009B634D">
      <w:pPr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98787B3" w14:textId="77777777" w:rsidR="00FF02F8" w:rsidRDefault="00FF02F8" w:rsidP="009B634D">
      <w:pPr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F8F8D2E" w14:textId="77777777" w:rsidR="00FF02F8" w:rsidRDefault="00FF02F8" w:rsidP="009B634D">
      <w:pPr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87B4980" w14:textId="3FB1CBC9" w:rsidR="00FF02F8" w:rsidRDefault="00FF02F8" w:rsidP="009B634D">
      <w:pPr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2E3B564" w14:textId="6D7599B6" w:rsidR="00831638" w:rsidRDefault="00831638" w:rsidP="009B634D">
      <w:pPr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396CAD6" w14:textId="5E8E9D4A" w:rsidR="00831638" w:rsidRDefault="00831638" w:rsidP="009B634D">
      <w:pPr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034FCFC" w14:textId="75B282DC" w:rsidR="00D916C1" w:rsidRDefault="00D916C1" w:rsidP="009B634D">
      <w:pPr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C5339FE" w14:textId="77777777" w:rsidR="00D916C1" w:rsidRDefault="00D916C1" w:rsidP="009B634D">
      <w:pPr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bookmarkStart w:id="4" w:name="_GoBack"/>
      <w:bookmarkEnd w:id="4"/>
    </w:p>
    <w:p w14:paraId="6CCE755E" w14:textId="71280CAD" w:rsidR="00A6169B" w:rsidRPr="009B634D" w:rsidRDefault="00A6169B" w:rsidP="009B634D">
      <w:pPr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9B634D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Додаток  до  </w:t>
      </w:r>
    </w:p>
    <w:p w14:paraId="47797F26" w14:textId="77777777" w:rsidR="00A6169B" w:rsidRPr="009B634D" w:rsidRDefault="00A6169B" w:rsidP="009B634D">
      <w:pPr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9B634D">
        <w:rPr>
          <w:rFonts w:ascii="Times New Roman" w:hAnsi="Times New Roman" w:cs="Times New Roman"/>
          <w:sz w:val="28"/>
          <w:szCs w:val="28"/>
          <w:lang w:eastAsia="en-US"/>
        </w:rPr>
        <w:t xml:space="preserve">Аналізу регуляторного впливу  </w:t>
      </w:r>
    </w:p>
    <w:p w14:paraId="1B0FB324" w14:textId="77777777" w:rsidR="00A6169B" w:rsidRPr="009B634D" w:rsidRDefault="00A6169B" w:rsidP="009B634D">
      <w:pPr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45839DB" w14:textId="77777777" w:rsidR="00A6169B" w:rsidRPr="009B634D" w:rsidRDefault="00A6169B" w:rsidP="009B634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B634D">
        <w:rPr>
          <w:rFonts w:ascii="Times New Roman" w:hAnsi="Times New Roman" w:cs="Times New Roman"/>
          <w:b/>
          <w:sz w:val="28"/>
          <w:szCs w:val="28"/>
          <w:lang w:eastAsia="en-US"/>
        </w:rPr>
        <w:t>ТЕСТ</w:t>
      </w:r>
    </w:p>
    <w:p w14:paraId="07B04EDE" w14:textId="77777777" w:rsidR="00A6169B" w:rsidRPr="009B634D" w:rsidRDefault="00A6169B" w:rsidP="009B634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B634D">
        <w:rPr>
          <w:rFonts w:ascii="Times New Roman" w:hAnsi="Times New Roman" w:cs="Times New Roman"/>
          <w:b/>
          <w:sz w:val="28"/>
          <w:szCs w:val="28"/>
          <w:lang w:eastAsia="en-US"/>
        </w:rPr>
        <w:t>малого підприємництва (М-Тест)</w:t>
      </w:r>
    </w:p>
    <w:p w14:paraId="11CE58FE" w14:textId="77777777" w:rsidR="00A6169B" w:rsidRPr="009B634D" w:rsidRDefault="00A6169B" w:rsidP="009B634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438C08C" w14:textId="77777777" w:rsidR="00A6169B" w:rsidRPr="009B634D" w:rsidRDefault="00A6169B" w:rsidP="009B634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B634D"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r w:rsidRPr="009B634D">
        <w:rPr>
          <w:rFonts w:ascii="Times New Roman" w:hAnsi="Times New Roman" w:cs="Times New Roman"/>
          <w:b/>
          <w:sz w:val="28"/>
          <w:szCs w:val="28"/>
          <w:lang w:eastAsia="en-US"/>
        </w:rPr>
        <w:t>Консультації з представниками мікро- та малого підприємництва щодо оцінки впливу регулювання</w:t>
      </w:r>
    </w:p>
    <w:p w14:paraId="003F7E26" w14:textId="77777777" w:rsidR="00A6169B" w:rsidRPr="009B634D" w:rsidRDefault="00A6169B" w:rsidP="009B634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34D">
        <w:rPr>
          <w:rFonts w:ascii="Times New Roman" w:hAnsi="Times New Roman" w:cs="Times New Roman"/>
          <w:sz w:val="28"/>
          <w:szCs w:val="28"/>
          <w:lang w:eastAsia="en-US"/>
        </w:rPr>
        <w:t>Здійснюється шляхом консультацій щодо визначення впливу запропонованого регулювання на суб’єктів малого підприємництва та визначення детального переліку процедур, виконання яких необхідно для дотримання вимог регулювання.</w:t>
      </w:r>
    </w:p>
    <w:p w14:paraId="1ED72FA1" w14:textId="77777777" w:rsidR="00A6169B" w:rsidRPr="009B634D" w:rsidRDefault="00A6169B" w:rsidP="009B634D">
      <w:pPr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9B634D">
        <w:rPr>
          <w:rFonts w:ascii="Times New Roman" w:hAnsi="Times New Roman" w:cs="Times New Roman"/>
          <w:sz w:val="28"/>
          <w:szCs w:val="28"/>
          <w:lang w:eastAsia="en-US"/>
        </w:rPr>
        <w:t>Таблиця 1</w:t>
      </w: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3"/>
        <w:gridCol w:w="3939"/>
        <w:gridCol w:w="2046"/>
        <w:gridCol w:w="2837"/>
      </w:tblGrid>
      <w:tr w:rsidR="00A6169B" w:rsidRPr="009B634D" w14:paraId="01AF362B" w14:textId="77777777" w:rsidTr="002F2FC4">
        <w:tc>
          <w:tcPr>
            <w:tcW w:w="704" w:type="dxa"/>
            <w:shd w:val="clear" w:color="auto" w:fill="auto"/>
          </w:tcPr>
          <w:p w14:paraId="404AF354" w14:textId="77777777" w:rsidR="00A6169B" w:rsidRPr="009B634D" w:rsidRDefault="00A6169B" w:rsidP="009B63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з/п</w:t>
            </w:r>
          </w:p>
        </w:tc>
        <w:tc>
          <w:tcPr>
            <w:tcW w:w="4110" w:type="dxa"/>
            <w:shd w:val="clear" w:color="auto" w:fill="auto"/>
          </w:tcPr>
          <w:p w14:paraId="1665BC74" w14:textId="77777777" w:rsidR="00A6169B" w:rsidRPr="009B634D" w:rsidRDefault="00A6169B" w:rsidP="009B63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 консультації (публічні консультації прямі (круглі столи, робочі зустрічі тощо), інтернет-консультації прямі (інтернет-форуми, соціальні мережі тощо), запити (до підприємців, експертів, науковців тощо)</w:t>
            </w:r>
          </w:p>
        </w:tc>
        <w:tc>
          <w:tcPr>
            <w:tcW w:w="1868" w:type="dxa"/>
            <w:shd w:val="clear" w:color="auto" w:fill="auto"/>
          </w:tcPr>
          <w:p w14:paraId="57FB66EF" w14:textId="77777777" w:rsidR="00A6169B" w:rsidRPr="009B634D" w:rsidRDefault="00A6169B" w:rsidP="009B63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Кількість учасників консультацій, осіб</w:t>
            </w:r>
          </w:p>
        </w:tc>
        <w:tc>
          <w:tcPr>
            <w:tcW w:w="2947" w:type="dxa"/>
            <w:shd w:val="clear" w:color="auto" w:fill="auto"/>
          </w:tcPr>
          <w:p w14:paraId="62A8D2E3" w14:textId="77777777" w:rsidR="00A6169B" w:rsidRPr="009B634D" w:rsidRDefault="00A6169B" w:rsidP="009B63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Основні результати консультацій (опис)</w:t>
            </w:r>
          </w:p>
        </w:tc>
      </w:tr>
      <w:tr w:rsidR="00A6169B" w:rsidRPr="009B634D" w14:paraId="5178E36A" w14:textId="77777777" w:rsidTr="002F2FC4">
        <w:tc>
          <w:tcPr>
            <w:tcW w:w="704" w:type="dxa"/>
            <w:shd w:val="clear" w:color="auto" w:fill="auto"/>
          </w:tcPr>
          <w:p w14:paraId="39BDD215" w14:textId="77777777" w:rsidR="00A6169B" w:rsidRPr="009B634D" w:rsidRDefault="00A6169B" w:rsidP="009B63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110" w:type="dxa"/>
            <w:shd w:val="clear" w:color="auto" w:fill="auto"/>
          </w:tcPr>
          <w:p w14:paraId="42314DE4" w14:textId="77777777" w:rsidR="00A6169B" w:rsidRPr="009B634D" w:rsidRDefault="00A6169B" w:rsidP="009B63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Консультації з громадськістю</w:t>
            </w:r>
          </w:p>
        </w:tc>
        <w:tc>
          <w:tcPr>
            <w:tcW w:w="1868" w:type="dxa"/>
            <w:shd w:val="clear" w:color="auto" w:fill="auto"/>
          </w:tcPr>
          <w:p w14:paraId="788601A3" w14:textId="77777777" w:rsidR="00A6169B" w:rsidRPr="009B634D" w:rsidRDefault="00A6169B" w:rsidP="009B634D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947" w:type="dxa"/>
            <w:shd w:val="clear" w:color="auto" w:fill="auto"/>
          </w:tcPr>
          <w:p w14:paraId="47F9B3F0" w14:textId="77777777" w:rsidR="00A6169B" w:rsidRPr="009B634D" w:rsidRDefault="00A6169B" w:rsidP="009B63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цілому </w:t>
            </w:r>
            <w:proofErr w:type="spellStart"/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проєкт</w:t>
            </w:r>
            <w:proofErr w:type="spellEnd"/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акта</w:t>
            </w:r>
            <w:proofErr w:type="spellEnd"/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підтримано</w:t>
            </w:r>
          </w:p>
        </w:tc>
      </w:tr>
    </w:tbl>
    <w:p w14:paraId="25B9428F" w14:textId="77777777" w:rsidR="00A6169B" w:rsidRPr="009B634D" w:rsidRDefault="00A6169B" w:rsidP="009B634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F3B34C0" w14:textId="77777777" w:rsidR="00A6169B" w:rsidRPr="009B634D" w:rsidRDefault="00A6169B" w:rsidP="009B634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B634D">
        <w:rPr>
          <w:rFonts w:ascii="Times New Roman" w:hAnsi="Times New Roman" w:cs="Times New Roman"/>
          <w:b/>
          <w:sz w:val="28"/>
          <w:szCs w:val="28"/>
          <w:lang w:eastAsia="en-US"/>
        </w:rPr>
        <w:t>2. Вимірювання впливу регулювання на суб’єктів малого підприємництва (мікро- та малі)</w:t>
      </w:r>
    </w:p>
    <w:p w14:paraId="2D638A8F" w14:textId="08A1758E" w:rsidR="00A6169B" w:rsidRPr="009B634D" w:rsidRDefault="00A6169B" w:rsidP="009B634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34D">
        <w:rPr>
          <w:rFonts w:ascii="Times New Roman" w:hAnsi="Times New Roman" w:cs="Times New Roman"/>
          <w:sz w:val="28"/>
          <w:szCs w:val="28"/>
          <w:lang w:eastAsia="en-US"/>
        </w:rPr>
        <w:t xml:space="preserve">2.1. Кількість суб'єктів господарювання, на яких поширюється регулювання - 6765, у тому числі малого та </w:t>
      </w:r>
      <w:proofErr w:type="spellStart"/>
      <w:r w:rsidRPr="009B634D">
        <w:rPr>
          <w:rFonts w:ascii="Times New Roman" w:hAnsi="Times New Roman" w:cs="Times New Roman"/>
          <w:sz w:val="28"/>
          <w:szCs w:val="28"/>
          <w:lang w:eastAsia="en-US"/>
        </w:rPr>
        <w:t>мікропідприємництва</w:t>
      </w:r>
      <w:proofErr w:type="spellEnd"/>
      <w:r w:rsidRPr="009B634D">
        <w:rPr>
          <w:rFonts w:ascii="Times New Roman" w:hAnsi="Times New Roman" w:cs="Times New Roman"/>
          <w:sz w:val="28"/>
          <w:szCs w:val="28"/>
          <w:lang w:eastAsia="en-US"/>
        </w:rPr>
        <w:t xml:space="preserve"> – </w:t>
      </w:r>
      <w:r w:rsidR="003878C9" w:rsidRPr="009B634D">
        <w:rPr>
          <w:rFonts w:ascii="Times New Roman" w:eastAsia="Times New Roman" w:hAnsi="Times New Roman" w:cs="Times New Roman"/>
          <w:sz w:val="28"/>
          <w:szCs w:val="28"/>
        </w:rPr>
        <w:t>6</w:t>
      </w:r>
      <w:r w:rsidR="003B410E" w:rsidRPr="009B634D">
        <w:rPr>
          <w:rFonts w:ascii="Times New Roman" w:eastAsia="Times New Roman" w:hAnsi="Times New Roman" w:cs="Times New Roman"/>
          <w:sz w:val="28"/>
          <w:szCs w:val="28"/>
          <w:lang w:val="ru-RU"/>
        </w:rPr>
        <w:t>01</w:t>
      </w:r>
      <w:r w:rsidR="003878C9" w:rsidRPr="009B634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B634D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5EC75D80" w14:textId="77777777" w:rsidR="00A6169B" w:rsidRPr="009B634D" w:rsidRDefault="00A6169B" w:rsidP="009B634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634D">
        <w:rPr>
          <w:rFonts w:ascii="Times New Roman" w:hAnsi="Times New Roman" w:cs="Times New Roman"/>
          <w:sz w:val="28"/>
          <w:szCs w:val="28"/>
          <w:lang w:eastAsia="en-US"/>
        </w:rPr>
        <w:t>2.2. Питома вага суб’єктів малого підприємництва у загальній кількості суб’єктів господарювання, на яких проблема чинить вплив, 89 % (відсотків).</w:t>
      </w:r>
    </w:p>
    <w:p w14:paraId="341AE868" w14:textId="77777777" w:rsidR="00A6169B" w:rsidRPr="009B634D" w:rsidRDefault="00A6169B" w:rsidP="009B634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B634D">
        <w:rPr>
          <w:rFonts w:ascii="Times New Roman" w:hAnsi="Times New Roman" w:cs="Times New Roman"/>
          <w:b/>
          <w:sz w:val="28"/>
          <w:szCs w:val="28"/>
          <w:lang w:eastAsia="en-US"/>
        </w:rPr>
        <w:t>3. Розрахунок витрат суб’єктів малого підприємництва, що виникають на виконання вимог регулювання</w:t>
      </w: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416"/>
        <w:gridCol w:w="2730"/>
        <w:gridCol w:w="1569"/>
        <w:gridCol w:w="2730"/>
      </w:tblGrid>
      <w:tr w:rsidR="009B634D" w:rsidRPr="009B634D" w14:paraId="40ABEE57" w14:textId="77777777" w:rsidTr="002F2FC4">
        <w:tc>
          <w:tcPr>
            <w:tcW w:w="704" w:type="dxa"/>
            <w:shd w:val="clear" w:color="auto" w:fill="auto"/>
          </w:tcPr>
          <w:p w14:paraId="0752BB4C" w14:textId="77777777" w:rsidR="00A6169B" w:rsidRPr="009B634D" w:rsidRDefault="00A6169B" w:rsidP="00FF02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з/п</w:t>
            </w:r>
          </w:p>
        </w:tc>
        <w:tc>
          <w:tcPr>
            <w:tcW w:w="3653" w:type="dxa"/>
            <w:shd w:val="clear" w:color="auto" w:fill="auto"/>
          </w:tcPr>
          <w:p w14:paraId="0BE7FA1A" w14:textId="77777777" w:rsidR="00A6169B" w:rsidRPr="009B634D" w:rsidRDefault="00A6169B" w:rsidP="00FF02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Найменування оцінки</w:t>
            </w:r>
          </w:p>
        </w:tc>
        <w:tc>
          <w:tcPr>
            <w:tcW w:w="1925" w:type="dxa"/>
            <w:shd w:val="clear" w:color="auto" w:fill="auto"/>
          </w:tcPr>
          <w:p w14:paraId="5D72605B" w14:textId="77777777" w:rsidR="00A6169B" w:rsidRPr="009B634D" w:rsidRDefault="00A6169B" w:rsidP="00FF02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 перший рік (стартовий рік впровадження регулювання)</w:t>
            </w:r>
          </w:p>
          <w:p w14:paraId="07E763A5" w14:textId="77777777" w:rsidR="00A6169B" w:rsidRPr="009B634D" w:rsidRDefault="00A6169B" w:rsidP="009B63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26" w:type="dxa"/>
            <w:shd w:val="clear" w:color="auto" w:fill="auto"/>
          </w:tcPr>
          <w:p w14:paraId="52E66996" w14:textId="77777777" w:rsidR="00A6169B" w:rsidRPr="009B634D" w:rsidRDefault="00A6169B" w:rsidP="00FF02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Періодичні (за наступний рік)</w:t>
            </w:r>
          </w:p>
        </w:tc>
        <w:tc>
          <w:tcPr>
            <w:tcW w:w="1592" w:type="dxa"/>
            <w:shd w:val="clear" w:color="auto" w:fill="auto"/>
          </w:tcPr>
          <w:p w14:paraId="6C6D859E" w14:textId="77777777" w:rsidR="00A6169B" w:rsidRPr="009B634D" w:rsidRDefault="00A6169B" w:rsidP="00FF02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Витрати за п’ять років</w:t>
            </w:r>
          </w:p>
        </w:tc>
      </w:tr>
      <w:tr w:rsidR="00A6169B" w:rsidRPr="009B634D" w14:paraId="15132342" w14:textId="77777777" w:rsidTr="002F2FC4">
        <w:tc>
          <w:tcPr>
            <w:tcW w:w="9700" w:type="dxa"/>
            <w:gridSpan w:val="5"/>
            <w:shd w:val="clear" w:color="auto" w:fill="auto"/>
          </w:tcPr>
          <w:p w14:paraId="1EE367D5" w14:textId="77777777" w:rsidR="00A6169B" w:rsidRPr="009B634D" w:rsidRDefault="00A6169B" w:rsidP="009B63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Оцінка «прямих» витрат суб’єктів підприємництва на виконання регулювання</w:t>
            </w:r>
          </w:p>
        </w:tc>
      </w:tr>
      <w:tr w:rsidR="009B634D" w:rsidRPr="009B634D" w14:paraId="5ACF6E2C" w14:textId="77777777" w:rsidTr="002F2FC4">
        <w:tc>
          <w:tcPr>
            <w:tcW w:w="704" w:type="dxa"/>
            <w:shd w:val="clear" w:color="auto" w:fill="auto"/>
          </w:tcPr>
          <w:p w14:paraId="1A3C5C64" w14:textId="77777777" w:rsidR="00A6169B" w:rsidRPr="009B634D" w:rsidRDefault="00A6169B" w:rsidP="00FF02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653" w:type="dxa"/>
            <w:shd w:val="clear" w:color="auto" w:fill="auto"/>
          </w:tcPr>
          <w:p w14:paraId="18B131C3" w14:textId="77777777" w:rsidR="00A6169B" w:rsidRPr="009B634D" w:rsidRDefault="00A6169B" w:rsidP="009B63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Придбання необхідного обладнання (пристроїв, машин, механізмів)</w:t>
            </w:r>
          </w:p>
          <w:p w14:paraId="60CEB99D" w14:textId="77777777" w:rsidR="00A6169B" w:rsidRPr="009B634D" w:rsidRDefault="00A6169B" w:rsidP="009B63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25" w:type="dxa"/>
            <w:shd w:val="clear" w:color="auto" w:fill="auto"/>
          </w:tcPr>
          <w:p w14:paraId="75B3A994" w14:textId="77777777" w:rsidR="00A6169B" w:rsidRPr="009B634D" w:rsidRDefault="00A6169B" w:rsidP="009B634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1826" w:type="dxa"/>
            <w:shd w:val="clear" w:color="auto" w:fill="auto"/>
          </w:tcPr>
          <w:p w14:paraId="087D820A" w14:textId="77777777" w:rsidR="00A6169B" w:rsidRPr="009B634D" w:rsidRDefault="00A6169B" w:rsidP="009B634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92" w:type="dxa"/>
            <w:shd w:val="clear" w:color="auto" w:fill="auto"/>
          </w:tcPr>
          <w:p w14:paraId="51F26311" w14:textId="77777777" w:rsidR="00A6169B" w:rsidRPr="009B634D" w:rsidRDefault="00A6169B" w:rsidP="009B634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9B634D" w:rsidRPr="009B634D" w14:paraId="15ACBA21" w14:textId="77777777" w:rsidTr="002F2FC4">
        <w:tc>
          <w:tcPr>
            <w:tcW w:w="704" w:type="dxa"/>
            <w:shd w:val="clear" w:color="auto" w:fill="auto"/>
          </w:tcPr>
          <w:p w14:paraId="62C27682" w14:textId="77777777" w:rsidR="00A6169B" w:rsidRPr="009B634D" w:rsidRDefault="00A6169B" w:rsidP="00FF02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3653" w:type="dxa"/>
            <w:shd w:val="clear" w:color="auto" w:fill="auto"/>
          </w:tcPr>
          <w:p w14:paraId="594941FA" w14:textId="77777777" w:rsidR="00A6169B" w:rsidRPr="009B634D" w:rsidRDefault="00A6169B" w:rsidP="009B63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  <w:p w14:paraId="6A74EB1C" w14:textId="77777777" w:rsidR="00A6169B" w:rsidRPr="009B634D" w:rsidRDefault="00A6169B" w:rsidP="009B63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25" w:type="dxa"/>
            <w:shd w:val="clear" w:color="auto" w:fill="auto"/>
          </w:tcPr>
          <w:p w14:paraId="226C8277" w14:textId="77777777" w:rsidR="00A6169B" w:rsidRPr="009B634D" w:rsidRDefault="00A6169B" w:rsidP="009B634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26" w:type="dxa"/>
            <w:shd w:val="clear" w:color="auto" w:fill="auto"/>
          </w:tcPr>
          <w:p w14:paraId="37D5DB49" w14:textId="77777777" w:rsidR="00A6169B" w:rsidRPr="009B634D" w:rsidRDefault="00A6169B" w:rsidP="009B634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92" w:type="dxa"/>
            <w:shd w:val="clear" w:color="auto" w:fill="auto"/>
          </w:tcPr>
          <w:p w14:paraId="224A4102" w14:textId="77777777" w:rsidR="00A6169B" w:rsidRPr="009B634D" w:rsidRDefault="00A6169B" w:rsidP="009B634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9B634D" w:rsidRPr="009B634D" w14:paraId="013EDAFE" w14:textId="77777777" w:rsidTr="002F2FC4">
        <w:tc>
          <w:tcPr>
            <w:tcW w:w="704" w:type="dxa"/>
            <w:shd w:val="clear" w:color="auto" w:fill="auto"/>
          </w:tcPr>
          <w:p w14:paraId="1E6D33A5" w14:textId="77777777" w:rsidR="00A6169B" w:rsidRPr="009B634D" w:rsidRDefault="00A6169B" w:rsidP="00FF02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653" w:type="dxa"/>
            <w:shd w:val="clear" w:color="auto" w:fill="auto"/>
          </w:tcPr>
          <w:p w14:paraId="5E63087F" w14:textId="77777777" w:rsidR="00A6169B" w:rsidRPr="009B634D" w:rsidRDefault="00A6169B" w:rsidP="009B63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Процедури експлуатації обладнання (експлуатаційні витрати – витратні матеріали)</w:t>
            </w:r>
          </w:p>
          <w:p w14:paraId="1849DBE3" w14:textId="77777777" w:rsidR="00A6169B" w:rsidRPr="009B634D" w:rsidRDefault="00A6169B" w:rsidP="009B63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25" w:type="dxa"/>
            <w:shd w:val="clear" w:color="auto" w:fill="auto"/>
          </w:tcPr>
          <w:p w14:paraId="64854E95" w14:textId="77777777" w:rsidR="00A6169B" w:rsidRPr="009B634D" w:rsidRDefault="00A6169B" w:rsidP="009B634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26" w:type="dxa"/>
            <w:shd w:val="clear" w:color="auto" w:fill="auto"/>
          </w:tcPr>
          <w:p w14:paraId="69249007" w14:textId="77777777" w:rsidR="00A6169B" w:rsidRPr="009B634D" w:rsidRDefault="00A6169B" w:rsidP="009B634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92" w:type="dxa"/>
            <w:shd w:val="clear" w:color="auto" w:fill="auto"/>
          </w:tcPr>
          <w:p w14:paraId="3AB65DF2" w14:textId="77777777" w:rsidR="00A6169B" w:rsidRPr="009B634D" w:rsidRDefault="00A6169B" w:rsidP="009B634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9B634D" w:rsidRPr="009B634D" w14:paraId="145254C5" w14:textId="77777777" w:rsidTr="002F2FC4">
        <w:tc>
          <w:tcPr>
            <w:tcW w:w="704" w:type="dxa"/>
            <w:shd w:val="clear" w:color="auto" w:fill="auto"/>
          </w:tcPr>
          <w:p w14:paraId="63640016" w14:textId="77777777" w:rsidR="00A6169B" w:rsidRPr="009B634D" w:rsidRDefault="00A6169B" w:rsidP="00FF02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653" w:type="dxa"/>
            <w:shd w:val="clear" w:color="auto" w:fill="auto"/>
          </w:tcPr>
          <w:p w14:paraId="0E644694" w14:textId="77777777" w:rsidR="00A6169B" w:rsidRPr="009B634D" w:rsidRDefault="00A6169B" w:rsidP="009B63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Процедури обслуговування обладнання (технічне обслуговування)</w:t>
            </w:r>
          </w:p>
          <w:p w14:paraId="37F46100" w14:textId="77777777" w:rsidR="00A6169B" w:rsidRPr="009B634D" w:rsidRDefault="00A6169B" w:rsidP="009B63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25" w:type="dxa"/>
            <w:shd w:val="clear" w:color="auto" w:fill="auto"/>
          </w:tcPr>
          <w:p w14:paraId="353A108C" w14:textId="77777777" w:rsidR="00A6169B" w:rsidRPr="009B634D" w:rsidRDefault="00A6169B" w:rsidP="009B634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26" w:type="dxa"/>
            <w:shd w:val="clear" w:color="auto" w:fill="auto"/>
          </w:tcPr>
          <w:p w14:paraId="0F9992A5" w14:textId="77777777" w:rsidR="00A6169B" w:rsidRPr="009B634D" w:rsidRDefault="00A6169B" w:rsidP="009B634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92" w:type="dxa"/>
            <w:shd w:val="clear" w:color="auto" w:fill="auto"/>
          </w:tcPr>
          <w:p w14:paraId="119B77DF" w14:textId="77777777" w:rsidR="00A6169B" w:rsidRPr="009B634D" w:rsidRDefault="00A6169B" w:rsidP="009B634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9B634D" w:rsidRPr="009B634D" w14:paraId="38F38981" w14:textId="77777777" w:rsidTr="002F2FC4">
        <w:tc>
          <w:tcPr>
            <w:tcW w:w="704" w:type="dxa"/>
            <w:shd w:val="clear" w:color="auto" w:fill="auto"/>
          </w:tcPr>
          <w:p w14:paraId="358ACA3B" w14:textId="77777777" w:rsidR="00A6169B" w:rsidRPr="009B634D" w:rsidRDefault="00A6169B" w:rsidP="00FF02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653" w:type="dxa"/>
            <w:shd w:val="clear" w:color="auto" w:fill="auto"/>
          </w:tcPr>
          <w:p w14:paraId="287D09E9" w14:textId="77777777" w:rsidR="00A6169B" w:rsidRPr="009B634D" w:rsidRDefault="00A6169B" w:rsidP="009B63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Інші процедури (уточнити)</w:t>
            </w:r>
          </w:p>
          <w:p w14:paraId="5FF1E644" w14:textId="77777777" w:rsidR="00A6169B" w:rsidRPr="009B634D" w:rsidRDefault="00A6169B" w:rsidP="009B63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25" w:type="dxa"/>
            <w:shd w:val="clear" w:color="auto" w:fill="auto"/>
          </w:tcPr>
          <w:p w14:paraId="5E1BA880" w14:textId="77777777" w:rsidR="00A6169B" w:rsidRPr="009B634D" w:rsidRDefault="00A6169B" w:rsidP="009B634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26" w:type="dxa"/>
            <w:shd w:val="clear" w:color="auto" w:fill="auto"/>
          </w:tcPr>
          <w:p w14:paraId="661C229F" w14:textId="77777777" w:rsidR="00A6169B" w:rsidRPr="009B634D" w:rsidRDefault="00A6169B" w:rsidP="009B634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92" w:type="dxa"/>
            <w:shd w:val="clear" w:color="auto" w:fill="auto"/>
          </w:tcPr>
          <w:p w14:paraId="60690BB8" w14:textId="77777777" w:rsidR="00A6169B" w:rsidRPr="009B634D" w:rsidRDefault="00A6169B" w:rsidP="009B634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9B634D" w:rsidRPr="009B634D" w14:paraId="3EEF02CE" w14:textId="77777777" w:rsidTr="002F2FC4">
        <w:tc>
          <w:tcPr>
            <w:tcW w:w="704" w:type="dxa"/>
            <w:shd w:val="clear" w:color="auto" w:fill="auto"/>
          </w:tcPr>
          <w:p w14:paraId="71EEF6C6" w14:textId="77777777" w:rsidR="00A6169B" w:rsidRPr="009B634D" w:rsidRDefault="00A6169B" w:rsidP="00FF02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653" w:type="dxa"/>
            <w:shd w:val="clear" w:color="auto" w:fill="auto"/>
          </w:tcPr>
          <w:p w14:paraId="777DECC2" w14:textId="77777777" w:rsidR="00A6169B" w:rsidRPr="009B634D" w:rsidRDefault="00A6169B" w:rsidP="009B63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Разом, гривень</w:t>
            </w:r>
          </w:p>
          <w:p w14:paraId="34F0BECC" w14:textId="77777777" w:rsidR="00A6169B" w:rsidRPr="009B634D" w:rsidRDefault="00A6169B" w:rsidP="009B63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25" w:type="dxa"/>
            <w:shd w:val="clear" w:color="auto" w:fill="auto"/>
          </w:tcPr>
          <w:p w14:paraId="12D45661" w14:textId="77777777" w:rsidR="00A6169B" w:rsidRPr="009B634D" w:rsidRDefault="00A6169B" w:rsidP="009B634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26" w:type="dxa"/>
            <w:shd w:val="clear" w:color="auto" w:fill="auto"/>
          </w:tcPr>
          <w:p w14:paraId="7702788A" w14:textId="77777777" w:rsidR="00A6169B" w:rsidRPr="009B634D" w:rsidRDefault="00A6169B" w:rsidP="009B634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92" w:type="dxa"/>
            <w:shd w:val="clear" w:color="auto" w:fill="auto"/>
          </w:tcPr>
          <w:p w14:paraId="34D733E7" w14:textId="77777777" w:rsidR="00A6169B" w:rsidRPr="009B634D" w:rsidRDefault="00A6169B" w:rsidP="009B634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FF02F8" w:rsidRPr="009B634D" w14:paraId="4168CD72" w14:textId="77777777" w:rsidTr="002F2FC4">
        <w:tc>
          <w:tcPr>
            <w:tcW w:w="704" w:type="dxa"/>
            <w:shd w:val="clear" w:color="auto" w:fill="auto"/>
          </w:tcPr>
          <w:p w14:paraId="724B6329" w14:textId="77777777" w:rsidR="00A6169B" w:rsidRPr="009B634D" w:rsidRDefault="00A6169B" w:rsidP="00FF02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653" w:type="dxa"/>
            <w:shd w:val="clear" w:color="auto" w:fill="auto"/>
          </w:tcPr>
          <w:p w14:paraId="5128234A" w14:textId="77777777" w:rsidR="00A6169B" w:rsidRPr="009B634D" w:rsidRDefault="00A6169B" w:rsidP="009B63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Кількість суб’єктів господарювання, що повинні виконувати вимоги регулювання, одиниць</w:t>
            </w:r>
          </w:p>
          <w:p w14:paraId="0BDEB06B" w14:textId="77777777" w:rsidR="00A6169B" w:rsidRPr="009B634D" w:rsidRDefault="00A6169B" w:rsidP="009B63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43" w:type="dxa"/>
            <w:gridSpan w:val="3"/>
            <w:shd w:val="clear" w:color="auto" w:fill="auto"/>
          </w:tcPr>
          <w:p w14:paraId="7922A6E0" w14:textId="77777777" w:rsidR="00A6169B" w:rsidRPr="009B634D" w:rsidRDefault="00A6169B" w:rsidP="009B634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6 015</w:t>
            </w:r>
          </w:p>
        </w:tc>
      </w:tr>
      <w:tr w:rsidR="009B634D" w:rsidRPr="009B634D" w14:paraId="18CC7950" w14:textId="77777777" w:rsidTr="002F2FC4">
        <w:tc>
          <w:tcPr>
            <w:tcW w:w="704" w:type="dxa"/>
            <w:shd w:val="clear" w:color="auto" w:fill="auto"/>
          </w:tcPr>
          <w:p w14:paraId="6C9E61CF" w14:textId="77777777" w:rsidR="00A6169B" w:rsidRPr="009B634D" w:rsidRDefault="00A6169B" w:rsidP="00FF02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653" w:type="dxa"/>
            <w:shd w:val="clear" w:color="auto" w:fill="auto"/>
          </w:tcPr>
          <w:p w14:paraId="131B2269" w14:textId="77777777" w:rsidR="00A6169B" w:rsidRPr="009B634D" w:rsidRDefault="00A6169B" w:rsidP="009B63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Сумарно, гривень</w:t>
            </w:r>
          </w:p>
          <w:p w14:paraId="1303D251" w14:textId="77777777" w:rsidR="00A6169B" w:rsidRPr="009B634D" w:rsidRDefault="00A6169B" w:rsidP="009B63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25" w:type="dxa"/>
            <w:shd w:val="clear" w:color="auto" w:fill="auto"/>
          </w:tcPr>
          <w:p w14:paraId="14A81B6F" w14:textId="77777777" w:rsidR="00A6169B" w:rsidRPr="009B634D" w:rsidRDefault="00A6169B" w:rsidP="009B634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26" w:type="dxa"/>
            <w:shd w:val="clear" w:color="auto" w:fill="auto"/>
          </w:tcPr>
          <w:p w14:paraId="10313909" w14:textId="77777777" w:rsidR="00A6169B" w:rsidRPr="009B634D" w:rsidRDefault="00A6169B" w:rsidP="009B634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92" w:type="dxa"/>
            <w:shd w:val="clear" w:color="auto" w:fill="auto"/>
          </w:tcPr>
          <w:p w14:paraId="4B65BB3A" w14:textId="77777777" w:rsidR="00A6169B" w:rsidRPr="009B634D" w:rsidRDefault="00A6169B" w:rsidP="009B634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A6169B" w:rsidRPr="009B634D" w14:paraId="5404FAB0" w14:textId="77777777" w:rsidTr="002F2FC4">
        <w:tc>
          <w:tcPr>
            <w:tcW w:w="9700" w:type="dxa"/>
            <w:gridSpan w:val="5"/>
            <w:shd w:val="clear" w:color="auto" w:fill="auto"/>
          </w:tcPr>
          <w:p w14:paraId="7756B259" w14:textId="77777777" w:rsidR="00A6169B" w:rsidRPr="009B634D" w:rsidRDefault="00A6169B" w:rsidP="009B63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Оцінка вартості адміністративних процедур суб’єктів малого підприємництва щодо виконання регулювання та звітування</w:t>
            </w:r>
          </w:p>
        </w:tc>
      </w:tr>
      <w:tr w:rsidR="009B634D" w:rsidRPr="009B634D" w14:paraId="1E9DE014" w14:textId="77777777" w:rsidTr="002F2FC4">
        <w:tc>
          <w:tcPr>
            <w:tcW w:w="704" w:type="dxa"/>
            <w:shd w:val="clear" w:color="auto" w:fill="auto"/>
          </w:tcPr>
          <w:p w14:paraId="5E12239A" w14:textId="77777777" w:rsidR="00A6169B" w:rsidRPr="009B634D" w:rsidRDefault="00A6169B" w:rsidP="00FF02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9.</w:t>
            </w:r>
          </w:p>
        </w:tc>
        <w:tc>
          <w:tcPr>
            <w:tcW w:w="3653" w:type="dxa"/>
            <w:shd w:val="clear" w:color="auto" w:fill="auto"/>
          </w:tcPr>
          <w:p w14:paraId="78ECB9D6" w14:textId="77777777" w:rsidR="00A6169B" w:rsidRPr="009B634D" w:rsidRDefault="00A6169B" w:rsidP="009B63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Процедури отримання первинної інформації про вимоги регулювання</w:t>
            </w:r>
          </w:p>
          <w:p w14:paraId="2CA2405A" w14:textId="048C9024" w:rsidR="00A6169B" w:rsidRPr="009B634D" w:rsidRDefault="00A6169B" w:rsidP="00502E3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Отримання інформації та опрацювання вимог регулювання як управлінський процес – </w:t>
            </w:r>
            <w:r w:rsidR="00114A70" w:rsidRPr="009B634D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3</w:t>
            </w:r>
            <w:r w:rsidRPr="009B634D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години * </w:t>
            </w:r>
            <w:r w:rsidR="004300AB" w:rsidRPr="009B634D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48</w:t>
            </w:r>
            <w:r w:rsidRPr="009B634D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грн/день * 1 працівник</w:t>
            </w:r>
          </w:p>
        </w:tc>
        <w:tc>
          <w:tcPr>
            <w:tcW w:w="1925" w:type="dxa"/>
            <w:shd w:val="clear" w:color="auto" w:fill="auto"/>
          </w:tcPr>
          <w:p w14:paraId="678B8F0A" w14:textId="155109D5" w:rsidR="00A6169B" w:rsidRPr="009B634D" w:rsidRDefault="00114A70" w:rsidP="009B634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144</w:t>
            </w:r>
            <w:r w:rsidR="00A6169B"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грн.</w:t>
            </w:r>
          </w:p>
        </w:tc>
        <w:tc>
          <w:tcPr>
            <w:tcW w:w="1826" w:type="dxa"/>
            <w:shd w:val="clear" w:color="auto" w:fill="auto"/>
          </w:tcPr>
          <w:p w14:paraId="6FFB645F" w14:textId="77777777" w:rsidR="00A6169B" w:rsidRPr="009B634D" w:rsidRDefault="00A6169B" w:rsidP="009B634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592" w:type="dxa"/>
            <w:shd w:val="clear" w:color="auto" w:fill="auto"/>
          </w:tcPr>
          <w:p w14:paraId="1A468660" w14:textId="444A0146" w:rsidR="00A6169B" w:rsidRPr="009B634D" w:rsidRDefault="00114A70" w:rsidP="009B634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144</w:t>
            </w:r>
            <w:r w:rsidR="00A6169B"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грн.</w:t>
            </w:r>
          </w:p>
        </w:tc>
      </w:tr>
      <w:tr w:rsidR="009B634D" w:rsidRPr="009B634D" w14:paraId="2A2C150B" w14:textId="77777777" w:rsidTr="002F2FC4">
        <w:tc>
          <w:tcPr>
            <w:tcW w:w="704" w:type="dxa"/>
            <w:shd w:val="clear" w:color="auto" w:fill="auto"/>
          </w:tcPr>
          <w:p w14:paraId="29AA1285" w14:textId="77777777" w:rsidR="00A6169B" w:rsidRPr="009B634D" w:rsidRDefault="00A6169B" w:rsidP="00FF02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653" w:type="dxa"/>
            <w:shd w:val="clear" w:color="auto" w:fill="auto"/>
          </w:tcPr>
          <w:p w14:paraId="7C953514" w14:textId="77777777" w:rsidR="00A6169B" w:rsidRPr="009B634D" w:rsidRDefault="00A6169B" w:rsidP="009B63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Процедури організації виконання вимог регулювання</w:t>
            </w:r>
          </w:p>
          <w:p w14:paraId="03224C63" w14:textId="4BC4D0E9" w:rsidR="00A6169B" w:rsidRPr="009B634D" w:rsidRDefault="00016259" w:rsidP="00FF02F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Оформлення </w:t>
            </w:r>
            <w:r w:rsidRPr="009B634D">
              <w:rPr>
                <w:rFonts w:ascii="Times New Roman" w:hAnsi="Times New Roman" w:cs="Times New Roman"/>
                <w:i/>
                <w:sz w:val="28"/>
                <w:szCs w:val="28"/>
                <w:lang w:val="ru-RU" w:eastAsia="en-US"/>
              </w:rPr>
              <w:t>(</w:t>
            </w:r>
            <w:r w:rsidRPr="009B634D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переоформленн</w:t>
            </w:r>
            <w:r w:rsidR="00FF02F8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я</w:t>
            </w:r>
            <w:r w:rsidRPr="009B634D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) кадрової документації </w:t>
            </w:r>
            <w:r w:rsidR="00A6169B" w:rsidRPr="009B634D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– </w:t>
            </w:r>
            <w:r w:rsidRPr="009B634D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3</w:t>
            </w:r>
            <w:r w:rsidR="00A6169B" w:rsidRPr="009B634D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годин</w:t>
            </w:r>
            <w:r w:rsidR="00114A70" w:rsidRPr="009B634D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 w:rsidR="00114A70" w:rsidRPr="009B634D">
              <w:rPr>
                <w:rFonts w:ascii="Times New Roman" w:hAnsi="Times New Roman" w:cs="Times New Roman"/>
                <w:i/>
                <w:sz w:val="28"/>
                <w:szCs w:val="28"/>
                <w:lang w:val="ru-RU" w:eastAsia="en-US"/>
              </w:rPr>
              <w:t xml:space="preserve">*48 </w:t>
            </w:r>
            <w:r w:rsidR="00A6169B" w:rsidRPr="009B634D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грн/день * 1 працівник</w:t>
            </w:r>
          </w:p>
        </w:tc>
        <w:tc>
          <w:tcPr>
            <w:tcW w:w="1925" w:type="dxa"/>
            <w:shd w:val="clear" w:color="auto" w:fill="auto"/>
          </w:tcPr>
          <w:p w14:paraId="55D918DA" w14:textId="4797D3C2" w:rsidR="00A6169B" w:rsidRPr="009B634D" w:rsidRDefault="00016259" w:rsidP="009B634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144</w:t>
            </w:r>
            <w:r w:rsidR="00114A70" w:rsidRPr="009B634D">
              <w:rPr>
                <w:rFonts w:ascii="Times New Roman" w:hAnsi="Times New Roman" w:cs="Times New Roman"/>
                <w:sz w:val="28"/>
                <w:szCs w:val="28"/>
                <w:lang w:val="en-AU" w:eastAsia="en-US"/>
              </w:rPr>
              <w:t> </w:t>
            </w:r>
            <w:r w:rsidR="00A6169B"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грн.</w:t>
            </w:r>
          </w:p>
        </w:tc>
        <w:tc>
          <w:tcPr>
            <w:tcW w:w="1826" w:type="dxa"/>
            <w:shd w:val="clear" w:color="auto" w:fill="auto"/>
          </w:tcPr>
          <w:p w14:paraId="049B4775" w14:textId="77777777" w:rsidR="00A6169B" w:rsidRPr="009B634D" w:rsidRDefault="00A6169B" w:rsidP="009B634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592" w:type="dxa"/>
            <w:shd w:val="clear" w:color="auto" w:fill="auto"/>
          </w:tcPr>
          <w:p w14:paraId="5410F8F8" w14:textId="0EC9F0EB" w:rsidR="00A6169B" w:rsidRPr="009B634D" w:rsidRDefault="00016259" w:rsidP="009B634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144</w:t>
            </w:r>
            <w:r w:rsidR="00A6169B"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грн.</w:t>
            </w:r>
          </w:p>
        </w:tc>
      </w:tr>
      <w:tr w:rsidR="009B634D" w:rsidRPr="009B634D" w14:paraId="37ABEB75" w14:textId="77777777" w:rsidTr="002F2FC4">
        <w:tc>
          <w:tcPr>
            <w:tcW w:w="704" w:type="dxa"/>
            <w:shd w:val="clear" w:color="auto" w:fill="auto"/>
          </w:tcPr>
          <w:p w14:paraId="782FFD64" w14:textId="77777777" w:rsidR="00A6169B" w:rsidRPr="009B634D" w:rsidRDefault="00A6169B" w:rsidP="00FF02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653" w:type="dxa"/>
            <w:shd w:val="clear" w:color="auto" w:fill="auto"/>
          </w:tcPr>
          <w:p w14:paraId="6418E095" w14:textId="77777777" w:rsidR="00A6169B" w:rsidRPr="009B634D" w:rsidRDefault="00A6169B" w:rsidP="009B63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Процедури офіційного звітування</w:t>
            </w:r>
          </w:p>
          <w:p w14:paraId="296CACB1" w14:textId="5AD4B2F8" w:rsidR="00A6169B" w:rsidRPr="009B634D" w:rsidRDefault="00A6169B" w:rsidP="00502E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Оформлення та подання відомостей про </w:t>
            </w:r>
            <w:r w:rsidR="00016259" w:rsidRPr="009B634D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кількість кадрів, у т</w:t>
            </w:r>
            <w:r w:rsidR="005B0593" w:rsidRPr="009B634D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.</w:t>
            </w:r>
            <w:r w:rsidR="00016259" w:rsidRPr="009B634D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ч</w:t>
            </w:r>
            <w:r w:rsidR="005B0593" w:rsidRPr="009B634D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.</w:t>
            </w:r>
            <w:r w:rsidR="00016259" w:rsidRPr="009B634D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у </w:t>
            </w:r>
            <w:r w:rsidR="005B0593" w:rsidRPr="009B634D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сільській</w:t>
            </w:r>
            <w:r w:rsidR="00016259" w:rsidRPr="009B634D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місцевості</w:t>
            </w:r>
            <w:r w:rsidRPr="009B634D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–</w:t>
            </w:r>
            <w:r w:rsidR="00016259" w:rsidRPr="009B634D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2</w:t>
            </w:r>
            <w:r w:rsidRPr="009B634D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години (0,37 дня) * 65,91 грн/день * 1 працівник</w:t>
            </w:r>
          </w:p>
        </w:tc>
        <w:tc>
          <w:tcPr>
            <w:tcW w:w="1925" w:type="dxa"/>
            <w:shd w:val="clear" w:color="auto" w:fill="auto"/>
          </w:tcPr>
          <w:p w14:paraId="4929BFBE" w14:textId="59E7C9B5" w:rsidR="00A6169B" w:rsidRPr="009B634D" w:rsidRDefault="00016259" w:rsidP="009B634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96</w:t>
            </w:r>
            <w:r w:rsidR="00A6169B"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грн.</w:t>
            </w:r>
          </w:p>
        </w:tc>
        <w:tc>
          <w:tcPr>
            <w:tcW w:w="1826" w:type="dxa"/>
            <w:shd w:val="clear" w:color="auto" w:fill="auto"/>
          </w:tcPr>
          <w:p w14:paraId="61ADB3C3" w14:textId="77777777" w:rsidR="00A6169B" w:rsidRPr="009B634D" w:rsidRDefault="00A6169B" w:rsidP="009B634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592" w:type="dxa"/>
            <w:shd w:val="clear" w:color="auto" w:fill="auto"/>
          </w:tcPr>
          <w:p w14:paraId="5FD63494" w14:textId="0CCCA340" w:rsidR="00A6169B" w:rsidRPr="009B634D" w:rsidRDefault="00016259" w:rsidP="009B634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96</w:t>
            </w:r>
            <w:r w:rsidR="00A6169B"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грн.</w:t>
            </w:r>
          </w:p>
        </w:tc>
      </w:tr>
      <w:tr w:rsidR="009B634D" w:rsidRPr="009B634D" w14:paraId="1CF54E02" w14:textId="77777777" w:rsidTr="002F2FC4">
        <w:tc>
          <w:tcPr>
            <w:tcW w:w="704" w:type="dxa"/>
            <w:shd w:val="clear" w:color="auto" w:fill="auto"/>
          </w:tcPr>
          <w:p w14:paraId="5974AB3D" w14:textId="77777777" w:rsidR="00A6169B" w:rsidRPr="009B634D" w:rsidRDefault="00A6169B" w:rsidP="00FF02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653" w:type="dxa"/>
            <w:shd w:val="clear" w:color="auto" w:fill="auto"/>
          </w:tcPr>
          <w:p w14:paraId="6BDA24CA" w14:textId="77777777" w:rsidR="00A6169B" w:rsidRPr="009B634D" w:rsidRDefault="00A6169B" w:rsidP="009B63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Процедури щодо забезпечення процесу перевірок</w:t>
            </w:r>
          </w:p>
        </w:tc>
        <w:tc>
          <w:tcPr>
            <w:tcW w:w="1925" w:type="dxa"/>
            <w:shd w:val="clear" w:color="auto" w:fill="auto"/>
          </w:tcPr>
          <w:p w14:paraId="2AC24D39" w14:textId="77777777" w:rsidR="00A6169B" w:rsidRPr="009B634D" w:rsidRDefault="00A6169B" w:rsidP="009B634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26" w:type="dxa"/>
            <w:shd w:val="clear" w:color="auto" w:fill="auto"/>
          </w:tcPr>
          <w:p w14:paraId="7B1956A6" w14:textId="77777777" w:rsidR="00A6169B" w:rsidRPr="009B634D" w:rsidRDefault="00A6169B" w:rsidP="009B634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92" w:type="dxa"/>
            <w:shd w:val="clear" w:color="auto" w:fill="auto"/>
          </w:tcPr>
          <w:p w14:paraId="161E216F" w14:textId="77777777" w:rsidR="00A6169B" w:rsidRPr="009B634D" w:rsidRDefault="00A6169B" w:rsidP="009B634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9B634D" w:rsidRPr="009B634D" w14:paraId="6E5FA461" w14:textId="77777777" w:rsidTr="002F2FC4">
        <w:tc>
          <w:tcPr>
            <w:tcW w:w="704" w:type="dxa"/>
            <w:shd w:val="clear" w:color="auto" w:fill="auto"/>
          </w:tcPr>
          <w:p w14:paraId="09BE5C6D" w14:textId="77777777" w:rsidR="00A6169B" w:rsidRPr="009B634D" w:rsidRDefault="00A6169B" w:rsidP="00FF02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3653" w:type="dxa"/>
            <w:shd w:val="clear" w:color="auto" w:fill="auto"/>
          </w:tcPr>
          <w:p w14:paraId="027B6150" w14:textId="77777777" w:rsidR="00A6169B" w:rsidRPr="009B634D" w:rsidRDefault="00A6169B" w:rsidP="009B63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Інші процедури (уточнити)</w:t>
            </w:r>
          </w:p>
          <w:p w14:paraId="66EC6FD4" w14:textId="76721921" w:rsidR="00107777" w:rsidRPr="009B634D" w:rsidRDefault="00016259" w:rsidP="00502E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4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Відрядження працівника на </w:t>
            </w:r>
            <w:r w:rsidRPr="009B634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  <w:lastRenderedPageBreak/>
              <w:t xml:space="preserve">цикли тематичного удосконалення </w:t>
            </w:r>
            <w:r w:rsidR="00107777" w:rsidRPr="009B6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2000</w:t>
            </w:r>
            <w:r w:rsidR="00155BBA" w:rsidRPr="009B6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грн </w:t>
            </w:r>
            <w:r w:rsidR="00107777" w:rsidRPr="009B6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вартість циклу ТУ</w:t>
            </w:r>
            <w:r w:rsidR="00155BBA" w:rsidRPr="009B6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/особу</w:t>
            </w:r>
          </w:p>
        </w:tc>
        <w:tc>
          <w:tcPr>
            <w:tcW w:w="1925" w:type="dxa"/>
            <w:shd w:val="clear" w:color="auto" w:fill="auto"/>
          </w:tcPr>
          <w:p w14:paraId="178AF4A1" w14:textId="595C7AE6" w:rsidR="00A6169B" w:rsidRPr="009B634D" w:rsidRDefault="00155BBA" w:rsidP="009B63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2000</w:t>
            </w:r>
            <w:r w:rsidR="00107777"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грн.</w:t>
            </w:r>
          </w:p>
        </w:tc>
        <w:tc>
          <w:tcPr>
            <w:tcW w:w="1826" w:type="dxa"/>
            <w:shd w:val="clear" w:color="auto" w:fill="auto"/>
          </w:tcPr>
          <w:p w14:paraId="48D78B72" w14:textId="77777777" w:rsidR="00A6169B" w:rsidRPr="009B634D" w:rsidRDefault="00A6169B" w:rsidP="009B63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92" w:type="dxa"/>
            <w:shd w:val="clear" w:color="auto" w:fill="auto"/>
          </w:tcPr>
          <w:p w14:paraId="100D6EC8" w14:textId="796A2F8E" w:rsidR="00A6169B" w:rsidRPr="009B634D" w:rsidRDefault="00155BBA" w:rsidP="009B634D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107777"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000 грн.</w:t>
            </w:r>
          </w:p>
        </w:tc>
      </w:tr>
      <w:tr w:rsidR="009B634D" w:rsidRPr="009B634D" w14:paraId="66FE0233" w14:textId="77777777" w:rsidTr="002F2FC4">
        <w:tc>
          <w:tcPr>
            <w:tcW w:w="704" w:type="dxa"/>
            <w:shd w:val="clear" w:color="auto" w:fill="auto"/>
          </w:tcPr>
          <w:p w14:paraId="66320024" w14:textId="77777777" w:rsidR="00A6169B" w:rsidRPr="009B634D" w:rsidRDefault="00A6169B" w:rsidP="00FF02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14.</w:t>
            </w:r>
          </w:p>
        </w:tc>
        <w:tc>
          <w:tcPr>
            <w:tcW w:w="3653" w:type="dxa"/>
            <w:shd w:val="clear" w:color="auto" w:fill="auto"/>
          </w:tcPr>
          <w:p w14:paraId="273C5C4A" w14:textId="77777777" w:rsidR="00A6169B" w:rsidRPr="009B634D" w:rsidRDefault="00A6169B" w:rsidP="009B63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Разом, гривень</w:t>
            </w:r>
          </w:p>
        </w:tc>
        <w:tc>
          <w:tcPr>
            <w:tcW w:w="1925" w:type="dxa"/>
            <w:shd w:val="clear" w:color="auto" w:fill="auto"/>
          </w:tcPr>
          <w:p w14:paraId="51AD5C59" w14:textId="6C0455AC" w:rsidR="00A6169B" w:rsidRPr="009B634D" w:rsidRDefault="00155BBA" w:rsidP="009B63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2384 </w:t>
            </w:r>
            <w:r w:rsidR="00A6169B"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грн.</w:t>
            </w:r>
          </w:p>
        </w:tc>
        <w:tc>
          <w:tcPr>
            <w:tcW w:w="1826" w:type="dxa"/>
            <w:shd w:val="clear" w:color="auto" w:fill="auto"/>
          </w:tcPr>
          <w:p w14:paraId="02BC9788" w14:textId="77777777" w:rsidR="00A6169B" w:rsidRPr="009B634D" w:rsidRDefault="00A6169B" w:rsidP="009B63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Х </w:t>
            </w:r>
          </w:p>
        </w:tc>
        <w:tc>
          <w:tcPr>
            <w:tcW w:w="1592" w:type="dxa"/>
            <w:shd w:val="clear" w:color="auto" w:fill="auto"/>
          </w:tcPr>
          <w:p w14:paraId="180DDDAD" w14:textId="2730AE0B" w:rsidR="00A6169B" w:rsidRPr="009B634D" w:rsidRDefault="00155BBA" w:rsidP="009B63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2384 грн.</w:t>
            </w:r>
          </w:p>
        </w:tc>
      </w:tr>
      <w:tr w:rsidR="00FF02F8" w:rsidRPr="009B634D" w14:paraId="2EB0F637" w14:textId="77777777" w:rsidTr="002F2FC4">
        <w:tc>
          <w:tcPr>
            <w:tcW w:w="704" w:type="dxa"/>
            <w:shd w:val="clear" w:color="auto" w:fill="auto"/>
          </w:tcPr>
          <w:p w14:paraId="39A752E4" w14:textId="77777777" w:rsidR="00A6169B" w:rsidRPr="009B634D" w:rsidRDefault="00A6169B" w:rsidP="00FF02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3653" w:type="dxa"/>
            <w:shd w:val="clear" w:color="auto" w:fill="auto"/>
          </w:tcPr>
          <w:p w14:paraId="703DA1F8" w14:textId="2821ECDB" w:rsidR="004768E4" w:rsidRPr="009B634D" w:rsidRDefault="00A6169B" w:rsidP="009B63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Кількість суб’єктів малого підприємництва, що повинні виконати вимоги регулювання, одиниць</w:t>
            </w:r>
          </w:p>
        </w:tc>
        <w:tc>
          <w:tcPr>
            <w:tcW w:w="5343" w:type="dxa"/>
            <w:gridSpan w:val="3"/>
            <w:shd w:val="clear" w:color="auto" w:fill="auto"/>
          </w:tcPr>
          <w:p w14:paraId="077BAD38" w14:textId="77777777" w:rsidR="00A6169B" w:rsidRPr="009B634D" w:rsidRDefault="00A6169B" w:rsidP="009B63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6 015</w:t>
            </w:r>
          </w:p>
        </w:tc>
      </w:tr>
      <w:tr w:rsidR="009B634D" w:rsidRPr="009B634D" w14:paraId="702D6D7B" w14:textId="77777777" w:rsidTr="002F2FC4">
        <w:tc>
          <w:tcPr>
            <w:tcW w:w="704" w:type="dxa"/>
            <w:shd w:val="clear" w:color="auto" w:fill="auto"/>
          </w:tcPr>
          <w:p w14:paraId="55E270A6" w14:textId="77777777" w:rsidR="00A6169B" w:rsidRPr="009B634D" w:rsidRDefault="00A6169B" w:rsidP="00FF02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3653" w:type="dxa"/>
            <w:shd w:val="clear" w:color="auto" w:fill="auto"/>
          </w:tcPr>
          <w:p w14:paraId="6B0873E2" w14:textId="3888642D" w:rsidR="00A6169B" w:rsidRPr="009B634D" w:rsidRDefault="00A6169B" w:rsidP="009B63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Сумарно, гривень</w:t>
            </w:r>
          </w:p>
          <w:p w14:paraId="6377EB49" w14:textId="59ABD087" w:rsidR="00CF5F19" w:rsidRPr="009B634D" w:rsidRDefault="00CF5F19" w:rsidP="009B634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  <w:t>(врахувати, що малі підприємства (їх 2297) відряджають 2 особи на цикл ТУ, мікро (їх 3718)  – 1)</w:t>
            </w:r>
          </w:p>
          <w:p w14:paraId="3E528E4D" w14:textId="77777777" w:rsidR="00A6169B" w:rsidRPr="009B634D" w:rsidRDefault="00A6169B" w:rsidP="009B63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25" w:type="dxa"/>
            <w:shd w:val="clear" w:color="auto" w:fill="auto"/>
          </w:tcPr>
          <w:p w14:paraId="0029FAB7" w14:textId="0DFDABF3" w:rsidR="00A6169B" w:rsidRPr="009B634D" w:rsidRDefault="00790E9A" w:rsidP="009B63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18 933 760 </w:t>
            </w:r>
            <w:r w:rsidR="00155BBA"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грн.</w:t>
            </w:r>
          </w:p>
        </w:tc>
        <w:tc>
          <w:tcPr>
            <w:tcW w:w="1826" w:type="dxa"/>
            <w:shd w:val="clear" w:color="auto" w:fill="auto"/>
          </w:tcPr>
          <w:p w14:paraId="6583F0AE" w14:textId="77777777" w:rsidR="00A6169B" w:rsidRPr="009B634D" w:rsidRDefault="00A6169B" w:rsidP="009B63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592" w:type="dxa"/>
            <w:shd w:val="clear" w:color="auto" w:fill="auto"/>
          </w:tcPr>
          <w:p w14:paraId="11B537E1" w14:textId="059D072B" w:rsidR="00A6169B" w:rsidRPr="009B634D" w:rsidRDefault="00790E9A" w:rsidP="009B63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18 933 760 грн.</w:t>
            </w:r>
          </w:p>
        </w:tc>
      </w:tr>
    </w:tbl>
    <w:p w14:paraId="19CDF11C" w14:textId="77777777" w:rsidR="00A6169B" w:rsidRPr="009B634D" w:rsidRDefault="00A6169B" w:rsidP="009B634D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14:paraId="2F7612F0" w14:textId="77777777" w:rsidR="00A6169B" w:rsidRPr="009B634D" w:rsidRDefault="00A6169B" w:rsidP="009B634D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bookmarkStart w:id="5" w:name="n216"/>
      <w:bookmarkEnd w:id="5"/>
    </w:p>
    <w:p w14:paraId="5FC142E6" w14:textId="77777777" w:rsidR="00A6169B" w:rsidRPr="009B634D" w:rsidRDefault="00A6169B" w:rsidP="009B634D">
      <w:pPr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06D963" w14:textId="77777777" w:rsidR="00A6169B" w:rsidRPr="009B634D" w:rsidRDefault="00A6169B" w:rsidP="009B634D">
      <w:pPr>
        <w:tabs>
          <w:tab w:val="left" w:pos="180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6169B" w:rsidRPr="009B634D">
      <w:headerReference w:type="default" r:id="rId7"/>
      <w:pgSz w:w="11900" w:h="16838"/>
      <w:pgMar w:top="568" w:right="560" w:bottom="851" w:left="1418" w:header="426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9A6EB" w14:textId="77777777" w:rsidR="00EF6561" w:rsidRDefault="00EF6561">
      <w:r>
        <w:separator/>
      </w:r>
    </w:p>
  </w:endnote>
  <w:endnote w:type="continuationSeparator" w:id="0">
    <w:p w14:paraId="2ECCAC8D" w14:textId="77777777" w:rsidR="00EF6561" w:rsidRDefault="00EF6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44A3E" w14:textId="77777777" w:rsidR="00EF6561" w:rsidRDefault="00EF6561">
      <w:r>
        <w:separator/>
      </w:r>
    </w:p>
  </w:footnote>
  <w:footnote w:type="continuationSeparator" w:id="0">
    <w:p w14:paraId="4A58FEDD" w14:textId="77777777" w:rsidR="00EF6561" w:rsidRDefault="00EF6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FD275" w14:textId="221CEBA1" w:rsidR="00CC3F05" w:rsidRDefault="00C76A1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916C1">
      <w:rPr>
        <w:noProof/>
        <w:color w:val="000000"/>
      </w:rPr>
      <w:t>17</w:t>
    </w:r>
    <w:r>
      <w:rPr>
        <w:color w:val="000000"/>
      </w:rPr>
      <w:fldChar w:fldCharType="end"/>
    </w:r>
  </w:p>
  <w:p w14:paraId="72E99E41" w14:textId="77777777" w:rsidR="00CC3F05" w:rsidRDefault="00CC3F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52142"/>
    <w:multiLevelType w:val="multilevel"/>
    <w:tmpl w:val="3AE8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626623"/>
    <w:multiLevelType w:val="multilevel"/>
    <w:tmpl w:val="0FE40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F05"/>
    <w:rsid w:val="00016259"/>
    <w:rsid w:val="000533A6"/>
    <w:rsid w:val="000575B9"/>
    <w:rsid w:val="000A7F28"/>
    <w:rsid w:val="000C586D"/>
    <w:rsid w:val="00107777"/>
    <w:rsid w:val="00114A70"/>
    <w:rsid w:val="00155BBA"/>
    <w:rsid w:val="00165397"/>
    <w:rsid w:val="00173883"/>
    <w:rsid w:val="00190C49"/>
    <w:rsid w:val="001A11A9"/>
    <w:rsid w:val="001D2EC5"/>
    <w:rsid w:val="001D7C61"/>
    <w:rsid w:val="002079A0"/>
    <w:rsid w:val="002377F8"/>
    <w:rsid w:val="002652CF"/>
    <w:rsid w:val="00275C3F"/>
    <w:rsid w:val="002B6FF7"/>
    <w:rsid w:val="002D07A6"/>
    <w:rsid w:val="002D279C"/>
    <w:rsid w:val="002F0B4B"/>
    <w:rsid w:val="0035049B"/>
    <w:rsid w:val="00350BA2"/>
    <w:rsid w:val="003878C9"/>
    <w:rsid w:val="003A22E1"/>
    <w:rsid w:val="003A2EDE"/>
    <w:rsid w:val="003B410E"/>
    <w:rsid w:val="0040582F"/>
    <w:rsid w:val="004300AB"/>
    <w:rsid w:val="00434EEB"/>
    <w:rsid w:val="004768E4"/>
    <w:rsid w:val="0049300E"/>
    <w:rsid w:val="004E264A"/>
    <w:rsid w:val="00502E38"/>
    <w:rsid w:val="005406DC"/>
    <w:rsid w:val="005B0593"/>
    <w:rsid w:val="005C67E6"/>
    <w:rsid w:val="00617AE1"/>
    <w:rsid w:val="00684311"/>
    <w:rsid w:val="006D19B3"/>
    <w:rsid w:val="00712DD7"/>
    <w:rsid w:val="00730CF6"/>
    <w:rsid w:val="00790E9A"/>
    <w:rsid w:val="00797283"/>
    <w:rsid w:val="007F4F67"/>
    <w:rsid w:val="007F59F4"/>
    <w:rsid w:val="008245D4"/>
    <w:rsid w:val="00831638"/>
    <w:rsid w:val="008C5348"/>
    <w:rsid w:val="008E0084"/>
    <w:rsid w:val="009074B8"/>
    <w:rsid w:val="0092782E"/>
    <w:rsid w:val="009625E3"/>
    <w:rsid w:val="00986FB0"/>
    <w:rsid w:val="009A2396"/>
    <w:rsid w:val="009B634D"/>
    <w:rsid w:val="009E2B57"/>
    <w:rsid w:val="009E415D"/>
    <w:rsid w:val="00A46F0C"/>
    <w:rsid w:val="00A6169B"/>
    <w:rsid w:val="00AA4C37"/>
    <w:rsid w:val="00AC6401"/>
    <w:rsid w:val="00BB525A"/>
    <w:rsid w:val="00BC7A08"/>
    <w:rsid w:val="00C057C0"/>
    <w:rsid w:val="00C2605A"/>
    <w:rsid w:val="00C76A11"/>
    <w:rsid w:val="00CC3F05"/>
    <w:rsid w:val="00CF5F19"/>
    <w:rsid w:val="00D916C1"/>
    <w:rsid w:val="00DE778F"/>
    <w:rsid w:val="00E220B9"/>
    <w:rsid w:val="00E66FBF"/>
    <w:rsid w:val="00EA3531"/>
    <w:rsid w:val="00ED748B"/>
    <w:rsid w:val="00EF6561"/>
    <w:rsid w:val="00F21940"/>
    <w:rsid w:val="00F310D9"/>
    <w:rsid w:val="00F35A96"/>
    <w:rsid w:val="00F659FE"/>
    <w:rsid w:val="00F949DC"/>
    <w:rsid w:val="00FC0CC3"/>
    <w:rsid w:val="00FF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CE09A"/>
  <w15:docId w15:val="{D0432709-9CF6-2446-8FA4-F0841F8D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e">
    <w:name w:val="header"/>
    <w:basedOn w:val="a"/>
    <w:link w:val="af"/>
    <w:uiPriority w:val="99"/>
    <w:unhideWhenUsed/>
    <w:rsid w:val="000575B9"/>
    <w:pPr>
      <w:tabs>
        <w:tab w:val="center" w:pos="4513"/>
        <w:tab w:val="right" w:pos="9026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575B9"/>
  </w:style>
  <w:style w:type="paragraph" w:styleId="af0">
    <w:name w:val="footer"/>
    <w:basedOn w:val="a"/>
    <w:link w:val="af1"/>
    <w:uiPriority w:val="99"/>
    <w:unhideWhenUsed/>
    <w:rsid w:val="000575B9"/>
    <w:pPr>
      <w:tabs>
        <w:tab w:val="center" w:pos="4513"/>
        <w:tab w:val="right" w:pos="9026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575B9"/>
  </w:style>
  <w:style w:type="paragraph" w:styleId="af2">
    <w:name w:val="Body Text"/>
    <w:basedOn w:val="a"/>
    <w:link w:val="af3"/>
    <w:uiPriority w:val="1"/>
    <w:qFormat/>
    <w:rsid w:val="009E415D"/>
    <w:pPr>
      <w:widowControl w:val="0"/>
      <w:autoSpaceDE w:val="0"/>
      <w:autoSpaceDN w:val="0"/>
      <w:ind w:left="116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3">
    <w:name w:val="Основной текст Знак"/>
    <w:basedOn w:val="a0"/>
    <w:link w:val="af2"/>
    <w:uiPriority w:val="1"/>
    <w:rsid w:val="009E415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4">
    <w:name w:val="Normal (Web)"/>
    <w:basedOn w:val="a"/>
    <w:uiPriority w:val="99"/>
    <w:semiHidden/>
    <w:unhideWhenUsed/>
    <w:rsid w:val="009E41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7F59F4"/>
  </w:style>
  <w:style w:type="character" w:customStyle="1" w:styleId="apple-converted-space">
    <w:name w:val="apple-converted-space"/>
    <w:basedOn w:val="a0"/>
    <w:rsid w:val="007F59F4"/>
  </w:style>
  <w:style w:type="paragraph" w:styleId="af5">
    <w:name w:val="Balloon Text"/>
    <w:basedOn w:val="a"/>
    <w:link w:val="af6"/>
    <w:uiPriority w:val="99"/>
    <w:semiHidden/>
    <w:unhideWhenUsed/>
    <w:rsid w:val="00831638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8316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17</Pages>
  <Words>18015</Words>
  <Characters>10270</Characters>
  <Application>Microsoft Office Word</Application>
  <DocSecurity>0</DocSecurity>
  <Lines>85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Сергій Геннадійович Убогов</dc:creator>
  <cp:lastModifiedBy>Долговський Андрій Володимирович</cp:lastModifiedBy>
  <cp:revision>6</cp:revision>
  <cp:lastPrinted>2025-02-14T11:16:00Z</cp:lastPrinted>
  <dcterms:created xsi:type="dcterms:W3CDTF">2025-02-04T11:46:00Z</dcterms:created>
  <dcterms:modified xsi:type="dcterms:W3CDTF">2025-02-17T07:00:00Z</dcterms:modified>
</cp:coreProperties>
</file>