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26" w:type="pct"/>
        <w:tblInd w:w="4959" w:type="dxa"/>
        <w:tblCellMar>
          <w:left w:w="0" w:type="dxa"/>
          <w:right w:w="0" w:type="dxa"/>
        </w:tblCellMar>
        <w:tblLook w:val="04A0" w:firstRow="1" w:lastRow="0" w:firstColumn="1" w:lastColumn="0" w:noHBand="0" w:noVBand="1"/>
      </w:tblPr>
      <w:tblGrid>
        <w:gridCol w:w="4677"/>
      </w:tblGrid>
      <w:tr w:rsidR="00A91D69" w:rsidRPr="00A91D69" w14:paraId="000DCC87" w14:textId="77777777" w:rsidTr="00667872">
        <w:tc>
          <w:tcPr>
            <w:tcW w:w="5000" w:type="pct"/>
            <w:hideMark/>
          </w:tcPr>
          <w:p w14:paraId="0B5CBEBB" w14:textId="77777777"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Додаток 2</w:t>
            </w:r>
            <w:r w:rsidRPr="00A91D69">
              <w:rPr>
                <w:rFonts w:ascii="Times New Roman" w:eastAsia="Times New Roman" w:hAnsi="Times New Roman" w:cs="Times New Roman"/>
                <w:sz w:val="24"/>
                <w:szCs w:val="24"/>
                <w:lang w:eastAsia="uk-UA"/>
              </w:rPr>
              <w:br/>
              <w:t>до критеріїв</w:t>
            </w:r>
          </w:p>
        </w:tc>
      </w:tr>
    </w:tbl>
    <w:p w14:paraId="2C6BFA30" w14:textId="77777777"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bookmarkStart w:id="0" w:name="n36"/>
      <w:bookmarkEnd w:id="0"/>
    </w:p>
    <w:p w14:paraId="4569BE2F" w14:textId="3DC27C17" w:rsidR="00A91D69" w:rsidRPr="007F13EF" w:rsidRDefault="00A91D69" w:rsidP="00A91D69">
      <w:pPr>
        <w:shd w:val="clear" w:color="auto" w:fill="FFFFFF"/>
        <w:spacing w:before="150" w:after="150" w:line="240" w:lineRule="auto"/>
        <w:ind w:left="450" w:right="450"/>
        <w:jc w:val="center"/>
        <w:rPr>
          <w:rFonts w:ascii="Times New Roman" w:hAnsi="Times New Roman"/>
          <w:b/>
          <w:sz w:val="28"/>
          <w:szCs w:val="28"/>
        </w:rPr>
      </w:pPr>
      <w:r w:rsidRPr="005C7478">
        <w:rPr>
          <w:rFonts w:ascii="Times New Roman" w:hAnsi="Times New Roman"/>
          <w:b/>
          <w:sz w:val="28"/>
          <w:szCs w:val="28"/>
        </w:rPr>
        <w:t>ПЕРЕЛІК</w:t>
      </w:r>
      <w:r w:rsidRPr="005C7478">
        <w:rPr>
          <w:rFonts w:ascii="Times New Roman" w:hAnsi="Times New Roman"/>
          <w:b/>
          <w:sz w:val="28"/>
          <w:szCs w:val="28"/>
        </w:rPr>
        <w:br/>
      </w:r>
      <w:r w:rsidR="00A82B1F" w:rsidRPr="00A82B1F">
        <w:rPr>
          <w:rFonts w:ascii="Times New Roman" w:hAnsi="Times New Roman"/>
          <w:b/>
          <w:sz w:val="28"/>
          <w:szCs w:val="28"/>
        </w:rPr>
        <w:t>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їх показники та  кількість балів за кожним показником</w:t>
      </w:r>
    </w:p>
    <w:p w14:paraId="04B1E1C7" w14:textId="77777777"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7268"/>
        <w:gridCol w:w="1380"/>
        <w:gridCol w:w="991"/>
      </w:tblGrid>
      <w:tr w:rsidR="00A91D69" w:rsidRPr="00A91D69" w14:paraId="24B29AB9" w14:textId="77777777" w:rsidTr="00466976">
        <w:tc>
          <w:tcPr>
            <w:tcW w:w="7268" w:type="dxa"/>
            <w:tcBorders>
              <w:top w:val="single" w:sz="6" w:space="0" w:color="000000"/>
              <w:left w:val="nil"/>
              <w:bottom w:val="single" w:sz="6" w:space="0" w:color="000000"/>
              <w:right w:val="single" w:sz="6" w:space="0" w:color="000000"/>
            </w:tcBorders>
            <w:hideMark/>
          </w:tcPr>
          <w:p w14:paraId="372F3475" w14:textId="69D09526" w:rsidR="00A91D69" w:rsidRPr="00294259" w:rsidRDefault="00A91D69" w:rsidP="00294259">
            <w:pPr>
              <w:spacing w:before="150" w:after="150" w:line="240" w:lineRule="auto"/>
              <w:jc w:val="center"/>
              <w:rPr>
                <w:rFonts w:ascii="Times New Roman" w:eastAsia="Times New Roman" w:hAnsi="Times New Roman" w:cs="Times New Roman"/>
                <w:sz w:val="24"/>
                <w:szCs w:val="24"/>
                <w:lang w:eastAsia="uk-UA"/>
              </w:rPr>
            </w:pPr>
            <w:bookmarkStart w:id="1" w:name="n37"/>
            <w:bookmarkEnd w:id="1"/>
            <w:r w:rsidRPr="00294259">
              <w:rPr>
                <w:rFonts w:ascii="Times New Roman" w:eastAsia="Times New Roman" w:hAnsi="Times New Roman" w:cs="Times New Roman"/>
                <w:sz w:val="24"/>
                <w:szCs w:val="24"/>
                <w:lang w:eastAsia="uk-UA"/>
              </w:rPr>
              <w:t>Критерії, за якими оцінюється ступінь ризику від провадження господарської діяльності</w:t>
            </w:r>
            <w:r w:rsidRPr="00294259">
              <w:rPr>
                <w:rFonts w:ascii="Times New Roman" w:hAnsi="Times New Roman" w:cs="Times New Roman"/>
                <w:sz w:val="24"/>
                <w:szCs w:val="24"/>
              </w:rPr>
              <w:t xml:space="preserve"> </w:t>
            </w:r>
            <w:r w:rsidR="00294259" w:rsidRPr="00294259">
              <w:rPr>
                <w:rFonts w:ascii="Times New Roman" w:hAnsi="Times New Roman" w:cs="Times New Roman"/>
                <w:sz w:val="24"/>
                <w:szCs w:val="24"/>
              </w:rPr>
              <w:t>та визначається періодичність проведення планових заходів державного нагляду (контролю)</w:t>
            </w:r>
          </w:p>
        </w:tc>
        <w:tc>
          <w:tcPr>
            <w:tcW w:w="1380" w:type="dxa"/>
            <w:tcBorders>
              <w:top w:val="single" w:sz="6" w:space="0" w:color="000000"/>
              <w:left w:val="single" w:sz="6" w:space="0" w:color="000000"/>
              <w:bottom w:val="single" w:sz="6" w:space="0" w:color="000000"/>
              <w:right w:val="single" w:sz="6" w:space="0" w:color="000000"/>
            </w:tcBorders>
            <w:hideMark/>
          </w:tcPr>
          <w:p w14:paraId="28FC49F1" w14:textId="77777777"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Показники критеріїв</w:t>
            </w:r>
          </w:p>
        </w:tc>
        <w:tc>
          <w:tcPr>
            <w:tcW w:w="991" w:type="dxa"/>
            <w:tcBorders>
              <w:top w:val="single" w:sz="6" w:space="0" w:color="000000"/>
              <w:left w:val="single" w:sz="6" w:space="0" w:color="000000"/>
              <w:bottom w:val="single" w:sz="6" w:space="0" w:color="000000"/>
              <w:right w:val="nil"/>
            </w:tcBorders>
            <w:hideMark/>
          </w:tcPr>
          <w:p w14:paraId="71AD696E" w14:textId="77777777" w:rsidR="00A91D69" w:rsidRPr="00A91D69" w:rsidRDefault="00A91D69" w:rsidP="00BD1396">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Кількість балів</w:t>
            </w:r>
          </w:p>
        </w:tc>
      </w:tr>
      <w:tr w:rsidR="00EB302E" w:rsidRPr="00A91D69" w14:paraId="06769AF9" w14:textId="77777777" w:rsidTr="00466976">
        <w:tc>
          <w:tcPr>
            <w:tcW w:w="7268" w:type="dxa"/>
            <w:vMerge w:val="restart"/>
            <w:tcBorders>
              <w:top w:val="single" w:sz="6" w:space="0" w:color="000000"/>
              <w:left w:val="single" w:sz="2" w:space="0" w:color="auto"/>
              <w:bottom w:val="single" w:sz="2" w:space="0" w:color="auto"/>
              <w:right w:val="single" w:sz="2" w:space="0" w:color="auto"/>
            </w:tcBorders>
            <w:hideMark/>
          </w:tcPr>
          <w:p w14:paraId="72E66520" w14:textId="098E8D69" w:rsidR="00EB302E" w:rsidRP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 Кількість місць провадження господарської діяльності ліцензіата</w:t>
            </w:r>
          </w:p>
        </w:tc>
        <w:tc>
          <w:tcPr>
            <w:tcW w:w="1380" w:type="dxa"/>
            <w:tcBorders>
              <w:top w:val="single" w:sz="6" w:space="0" w:color="000000"/>
              <w:left w:val="single" w:sz="2" w:space="0" w:color="auto"/>
              <w:bottom w:val="single" w:sz="2" w:space="0" w:color="auto"/>
              <w:right w:val="single" w:sz="2" w:space="0" w:color="auto"/>
            </w:tcBorders>
            <w:vAlign w:val="center"/>
            <w:hideMark/>
          </w:tcPr>
          <w:p w14:paraId="0BC26621" w14:textId="1CB4078F"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 місце провадження діяльності (МПД)</w:t>
            </w:r>
          </w:p>
        </w:tc>
        <w:tc>
          <w:tcPr>
            <w:tcW w:w="991" w:type="dxa"/>
            <w:tcBorders>
              <w:top w:val="single" w:sz="6" w:space="0" w:color="000000"/>
              <w:left w:val="single" w:sz="2" w:space="0" w:color="auto"/>
              <w:bottom w:val="single" w:sz="2" w:space="0" w:color="auto"/>
              <w:right w:val="single" w:sz="2" w:space="0" w:color="auto"/>
            </w:tcBorders>
            <w:vAlign w:val="center"/>
            <w:hideMark/>
          </w:tcPr>
          <w:p w14:paraId="6DE85E4D" w14:textId="4192C6CD" w:rsidR="00EB302E" w:rsidRPr="00EB302E"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EB302E">
              <w:rPr>
                <w:rFonts w:ascii="Times New Roman" w:hAnsi="Times New Roman" w:cs="Times New Roman"/>
                <w:sz w:val="24"/>
                <w:szCs w:val="24"/>
              </w:rPr>
              <w:t>21</w:t>
            </w:r>
          </w:p>
        </w:tc>
      </w:tr>
      <w:tr w:rsidR="00EB302E" w:rsidRPr="00A91D69" w14:paraId="252B0404" w14:textId="77777777" w:rsidTr="00466976">
        <w:trPr>
          <w:trHeight w:val="1448"/>
        </w:trPr>
        <w:tc>
          <w:tcPr>
            <w:tcW w:w="0" w:type="auto"/>
            <w:vMerge/>
            <w:tcBorders>
              <w:top w:val="single" w:sz="6" w:space="0" w:color="000000"/>
              <w:left w:val="single" w:sz="2" w:space="0" w:color="auto"/>
              <w:bottom w:val="single" w:sz="2" w:space="0" w:color="auto"/>
              <w:right w:val="single" w:sz="2" w:space="0" w:color="auto"/>
            </w:tcBorders>
            <w:hideMark/>
          </w:tcPr>
          <w:p w14:paraId="0F24049F" w14:textId="77777777" w:rsidR="00EB302E" w:rsidRPr="00EB302E"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vAlign w:val="center"/>
            <w:hideMark/>
          </w:tcPr>
          <w:p w14:paraId="73D20A25" w14:textId="026F00F9"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2 і більше місць провадження діяльності (МПД)</w:t>
            </w:r>
          </w:p>
        </w:tc>
        <w:tc>
          <w:tcPr>
            <w:tcW w:w="991" w:type="dxa"/>
            <w:tcBorders>
              <w:top w:val="single" w:sz="2" w:space="0" w:color="auto"/>
              <w:left w:val="single" w:sz="2" w:space="0" w:color="auto"/>
              <w:bottom w:val="single" w:sz="2" w:space="0" w:color="auto"/>
              <w:right w:val="single" w:sz="2" w:space="0" w:color="auto"/>
            </w:tcBorders>
            <w:vAlign w:val="center"/>
            <w:hideMark/>
          </w:tcPr>
          <w:p w14:paraId="286E2916" w14:textId="45BB1093" w:rsidR="00EB302E" w:rsidRPr="00EB302E"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EB302E">
              <w:rPr>
                <w:rFonts w:ascii="Times New Roman" w:hAnsi="Times New Roman" w:cs="Times New Roman"/>
                <w:sz w:val="24"/>
                <w:szCs w:val="24"/>
              </w:rPr>
              <w:t>25</w:t>
            </w:r>
          </w:p>
        </w:tc>
      </w:tr>
      <w:tr w:rsidR="00EB302E" w:rsidRPr="00A91D69" w14:paraId="2BCD0AC2" w14:textId="77777777" w:rsidTr="00466976">
        <w:tc>
          <w:tcPr>
            <w:tcW w:w="7268" w:type="dxa"/>
            <w:vMerge w:val="restart"/>
            <w:tcBorders>
              <w:top w:val="single" w:sz="2" w:space="0" w:color="auto"/>
              <w:left w:val="single" w:sz="2" w:space="0" w:color="auto"/>
              <w:bottom w:val="single" w:sz="2" w:space="0" w:color="auto"/>
              <w:right w:val="single" w:sz="2" w:space="0" w:color="auto"/>
            </w:tcBorders>
            <w:hideMark/>
          </w:tcPr>
          <w:p w14:paraId="7E45CAD1" w14:textId="41822038" w:rsidR="00EB302E" w:rsidRP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bookmarkStart w:id="2" w:name="_Hlk201874014"/>
            <w:r w:rsidRPr="00EB302E">
              <w:rPr>
                <w:rFonts w:ascii="Times New Roman" w:hAnsi="Times New Roman" w:cs="Times New Roman"/>
                <w:sz w:val="24"/>
                <w:szCs w:val="24"/>
              </w:rPr>
              <w:t>2. 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w:t>
            </w:r>
            <w:r>
              <w:rPr>
                <w:rFonts w:ascii="Times New Roman" w:hAnsi="Times New Roman" w:cs="Times New Roman"/>
                <w:sz w:val="24"/>
                <w:szCs w:val="24"/>
              </w:rPr>
              <w:t xml:space="preserve"> </w:t>
            </w:r>
            <w:r w:rsidRPr="00EB302E">
              <w:rPr>
                <w:rFonts w:ascii="Times New Roman" w:hAnsi="Times New Roman" w:cs="Times New Roman"/>
                <w:sz w:val="24"/>
                <w:szCs w:val="24"/>
              </w:rPr>
              <w:t>та/або компонентів крові</w:t>
            </w:r>
          </w:p>
        </w:tc>
        <w:tc>
          <w:tcPr>
            <w:tcW w:w="1380" w:type="dxa"/>
            <w:tcBorders>
              <w:top w:val="single" w:sz="2" w:space="0" w:color="auto"/>
              <w:left w:val="single" w:sz="2" w:space="0" w:color="auto"/>
              <w:bottom w:val="single" w:sz="2" w:space="0" w:color="auto"/>
              <w:right w:val="single" w:sz="2" w:space="0" w:color="auto"/>
            </w:tcBorders>
            <w:vAlign w:val="center"/>
            <w:hideMark/>
          </w:tcPr>
          <w:p w14:paraId="5682AB10" w14:textId="05EA5424"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до 20 закладів</w:t>
            </w:r>
          </w:p>
        </w:tc>
        <w:tc>
          <w:tcPr>
            <w:tcW w:w="991" w:type="dxa"/>
            <w:tcBorders>
              <w:top w:val="single" w:sz="2" w:space="0" w:color="auto"/>
              <w:left w:val="single" w:sz="2" w:space="0" w:color="auto"/>
              <w:bottom w:val="single" w:sz="2" w:space="0" w:color="auto"/>
              <w:right w:val="single" w:sz="2" w:space="0" w:color="auto"/>
            </w:tcBorders>
            <w:vAlign w:val="center"/>
            <w:hideMark/>
          </w:tcPr>
          <w:p w14:paraId="6DE95775" w14:textId="6EB282DF"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4</w:t>
            </w:r>
          </w:p>
        </w:tc>
      </w:tr>
      <w:tr w:rsidR="00EB302E" w:rsidRPr="00A91D69" w14:paraId="1CB282BE" w14:textId="77777777" w:rsidTr="00466976">
        <w:trPr>
          <w:trHeight w:val="272"/>
        </w:trPr>
        <w:tc>
          <w:tcPr>
            <w:tcW w:w="0" w:type="auto"/>
            <w:vMerge/>
            <w:tcBorders>
              <w:top w:val="single" w:sz="2" w:space="0" w:color="auto"/>
              <w:left w:val="single" w:sz="2" w:space="0" w:color="auto"/>
              <w:bottom w:val="single" w:sz="2" w:space="0" w:color="auto"/>
              <w:right w:val="single" w:sz="2" w:space="0" w:color="auto"/>
            </w:tcBorders>
            <w:hideMark/>
          </w:tcPr>
          <w:p w14:paraId="742273A3" w14:textId="77777777" w:rsidR="00EB302E" w:rsidRPr="00EB302E"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vAlign w:val="center"/>
            <w:hideMark/>
          </w:tcPr>
          <w:p w14:paraId="68BB3923" w14:textId="1E181879" w:rsidR="00EB302E" w:rsidRPr="00EB302E" w:rsidRDefault="00581BA6"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t>2</w:t>
            </w:r>
            <w:r w:rsidR="00EB302E" w:rsidRPr="00EB302E">
              <w:rPr>
                <w:rFonts w:ascii="Times New Roman" w:hAnsi="Times New Roman" w:cs="Times New Roman"/>
                <w:sz w:val="24"/>
                <w:szCs w:val="24"/>
              </w:rPr>
              <w:t xml:space="preserve">0 </w:t>
            </w:r>
            <w:r>
              <w:rPr>
                <w:rFonts w:ascii="Times New Roman" w:hAnsi="Times New Roman" w:cs="Times New Roman"/>
                <w:sz w:val="24"/>
                <w:szCs w:val="24"/>
              </w:rPr>
              <w:t xml:space="preserve"> і більше </w:t>
            </w:r>
            <w:r w:rsidR="00EB302E" w:rsidRPr="00EB302E">
              <w:rPr>
                <w:rFonts w:ascii="Times New Roman" w:hAnsi="Times New Roman" w:cs="Times New Roman"/>
                <w:sz w:val="24"/>
                <w:szCs w:val="24"/>
              </w:rPr>
              <w:t>закладів</w:t>
            </w:r>
          </w:p>
        </w:tc>
        <w:tc>
          <w:tcPr>
            <w:tcW w:w="991" w:type="dxa"/>
            <w:tcBorders>
              <w:top w:val="single" w:sz="2" w:space="0" w:color="auto"/>
              <w:left w:val="single" w:sz="2" w:space="0" w:color="auto"/>
              <w:bottom w:val="single" w:sz="2" w:space="0" w:color="auto"/>
              <w:right w:val="single" w:sz="2" w:space="0" w:color="auto"/>
            </w:tcBorders>
            <w:vAlign w:val="center"/>
            <w:hideMark/>
          </w:tcPr>
          <w:p w14:paraId="718BD68B" w14:textId="4E5152E4" w:rsidR="00EB302E" w:rsidRPr="00EB302E" w:rsidRDefault="00EB302E" w:rsidP="00EB302E">
            <w:pPr>
              <w:spacing w:before="150" w:after="150" w:line="240" w:lineRule="auto"/>
              <w:jc w:val="center"/>
              <w:rPr>
                <w:rFonts w:ascii="Times New Roman" w:eastAsia="Times New Roman" w:hAnsi="Times New Roman" w:cs="Times New Roman"/>
                <w:sz w:val="24"/>
                <w:szCs w:val="24"/>
                <w:lang w:eastAsia="uk-UA"/>
              </w:rPr>
            </w:pPr>
            <w:r w:rsidRPr="00EB302E">
              <w:rPr>
                <w:rFonts w:ascii="Times New Roman" w:hAnsi="Times New Roman" w:cs="Times New Roman"/>
                <w:sz w:val="24"/>
                <w:szCs w:val="24"/>
              </w:rPr>
              <w:t>10</w:t>
            </w:r>
          </w:p>
        </w:tc>
      </w:tr>
      <w:bookmarkEnd w:id="2"/>
      <w:tr w:rsidR="00EB302E" w:rsidRPr="00A91D69" w14:paraId="61C986A4" w14:textId="77777777" w:rsidTr="00466976">
        <w:tc>
          <w:tcPr>
            <w:tcW w:w="7268" w:type="dxa"/>
            <w:vMerge w:val="restart"/>
            <w:tcBorders>
              <w:top w:val="single" w:sz="2" w:space="0" w:color="auto"/>
              <w:left w:val="single" w:sz="2" w:space="0" w:color="auto"/>
              <w:bottom w:val="single" w:sz="2" w:space="0" w:color="auto"/>
              <w:right w:val="single" w:sz="2" w:space="0" w:color="auto"/>
            </w:tcBorders>
          </w:tcPr>
          <w:p w14:paraId="074E6A66" w14:textId="7B20935A"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294259">
              <w:rPr>
                <w:rFonts w:ascii="Times New Roman" w:eastAsia="Times New Roman" w:hAnsi="Times New Roman" w:cs="Times New Roman"/>
                <w:sz w:val="24"/>
                <w:szCs w:val="24"/>
                <w:lang w:eastAsia="uk-UA"/>
              </w:rPr>
              <w:t>.</w:t>
            </w:r>
            <w:r w:rsidRPr="00294259">
              <w:rPr>
                <w:rFonts w:ascii="Times New Roman" w:hAnsi="Times New Roman" w:cs="Times New Roman"/>
                <w:sz w:val="24"/>
                <w:szCs w:val="24"/>
              </w:rPr>
              <w:t xml:space="preserve"> П</w:t>
            </w:r>
            <w:r w:rsidRPr="00294259">
              <w:rPr>
                <w:rFonts w:ascii="Times New Roman" w:eastAsia="Times New Roman" w:hAnsi="Times New Roman" w:cs="Times New Roman"/>
                <w:sz w:val="24"/>
                <w:szCs w:val="24"/>
                <w:lang w:eastAsia="uk-UA"/>
              </w:rPr>
              <w:t>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w:t>
            </w:r>
          </w:p>
        </w:tc>
        <w:tc>
          <w:tcPr>
            <w:tcW w:w="1380" w:type="dxa"/>
            <w:tcBorders>
              <w:top w:val="single" w:sz="2" w:space="0" w:color="auto"/>
              <w:left w:val="single" w:sz="2" w:space="0" w:color="auto"/>
              <w:bottom w:val="single" w:sz="2" w:space="0" w:color="auto"/>
              <w:right w:val="single" w:sz="2" w:space="0" w:color="auto"/>
            </w:tcBorders>
          </w:tcPr>
          <w:p w14:paraId="66548772" w14:textId="05845E05"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наявні</w:t>
            </w:r>
          </w:p>
        </w:tc>
        <w:tc>
          <w:tcPr>
            <w:tcW w:w="991" w:type="dxa"/>
            <w:tcBorders>
              <w:top w:val="single" w:sz="2" w:space="0" w:color="auto"/>
              <w:left w:val="single" w:sz="2" w:space="0" w:color="auto"/>
              <w:bottom w:val="single" w:sz="2" w:space="0" w:color="auto"/>
              <w:right w:val="single" w:sz="2" w:space="0" w:color="auto"/>
            </w:tcBorders>
          </w:tcPr>
          <w:p w14:paraId="53DD09B0" w14:textId="1D46F098"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242F35E9" w14:textId="77777777" w:rsidTr="00466976">
        <w:trPr>
          <w:trHeight w:val="460"/>
        </w:trPr>
        <w:tc>
          <w:tcPr>
            <w:tcW w:w="0" w:type="auto"/>
            <w:vMerge/>
            <w:tcBorders>
              <w:top w:val="single" w:sz="2" w:space="0" w:color="auto"/>
              <w:left w:val="single" w:sz="2" w:space="0" w:color="auto"/>
              <w:bottom w:val="single" w:sz="2" w:space="0" w:color="auto"/>
              <w:right w:val="single" w:sz="2" w:space="0" w:color="auto"/>
            </w:tcBorders>
            <w:hideMark/>
          </w:tcPr>
          <w:p w14:paraId="0B3F3C6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hideMark/>
          </w:tcPr>
          <w:p w14:paraId="13FC70A4" w14:textId="2A001E32"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w:t>
            </w:r>
          </w:p>
        </w:tc>
        <w:tc>
          <w:tcPr>
            <w:tcW w:w="991" w:type="dxa"/>
            <w:tcBorders>
              <w:top w:val="single" w:sz="2" w:space="0" w:color="auto"/>
              <w:left w:val="single" w:sz="2" w:space="0" w:color="auto"/>
              <w:bottom w:val="single" w:sz="2" w:space="0" w:color="auto"/>
              <w:right w:val="single" w:sz="2" w:space="0" w:color="auto"/>
            </w:tcBorders>
            <w:hideMark/>
          </w:tcPr>
          <w:p w14:paraId="567A12C7" w14:textId="669C569B"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1B04A85A" w14:textId="77777777" w:rsidTr="00466976">
        <w:tc>
          <w:tcPr>
            <w:tcW w:w="7268" w:type="dxa"/>
            <w:vMerge w:val="restart"/>
            <w:tcBorders>
              <w:top w:val="single" w:sz="2" w:space="0" w:color="auto"/>
              <w:left w:val="single" w:sz="2" w:space="0" w:color="auto"/>
              <w:bottom w:val="single" w:sz="2" w:space="0" w:color="auto"/>
              <w:right w:val="single" w:sz="2" w:space="0" w:color="auto"/>
            </w:tcBorders>
            <w:hideMark/>
          </w:tcPr>
          <w:p w14:paraId="4233E869" w14:textId="497E92A6"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П</w:t>
            </w:r>
            <w:r w:rsidRPr="00691C6B">
              <w:rPr>
                <w:rFonts w:ascii="Times New Roman" w:eastAsia="Times New Roman" w:hAnsi="Times New Roman" w:cs="Times New Roman"/>
                <w:sz w:val="24"/>
                <w:szCs w:val="24"/>
                <w:lang w:eastAsia="uk-UA"/>
              </w:rPr>
              <w:t>ередача донорської крові та компонентів крові для зберігання та розподілу іншому ліцензіату на підставі укладеного контракту про зовнішню (</w:t>
            </w:r>
            <w:proofErr w:type="spellStart"/>
            <w:r w:rsidRPr="00691C6B">
              <w:rPr>
                <w:rFonts w:ascii="Times New Roman" w:eastAsia="Times New Roman" w:hAnsi="Times New Roman" w:cs="Times New Roman"/>
                <w:sz w:val="24"/>
                <w:szCs w:val="24"/>
                <w:lang w:eastAsia="uk-UA"/>
              </w:rPr>
              <w:t>аутсорсингову</w:t>
            </w:r>
            <w:proofErr w:type="spellEnd"/>
            <w:r w:rsidRPr="00691C6B">
              <w:rPr>
                <w:rFonts w:ascii="Times New Roman" w:eastAsia="Times New Roman" w:hAnsi="Times New Roman" w:cs="Times New Roman"/>
                <w:sz w:val="24"/>
                <w:szCs w:val="24"/>
                <w:lang w:eastAsia="uk-UA"/>
              </w:rPr>
              <w:t>) діяльність</w:t>
            </w:r>
          </w:p>
        </w:tc>
        <w:tc>
          <w:tcPr>
            <w:tcW w:w="1380" w:type="dxa"/>
            <w:tcBorders>
              <w:top w:val="single" w:sz="2" w:space="0" w:color="auto"/>
              <w:left w:val="single" w:sz="2" w:space="0" w:color="auto"/>
              <w:bottom w:val="single" w:sz="2" w:space="0" w:color="auto"/>
              <w:right w:val="single" w:sz="2" w:space="0" w:color="auto"/>
            </w:tcBorders>
            <w:hideMark/>
          </w:tcPr>
          <w:p w14:paraId="5C67E9E5" w14:textId="7DFD6FC7"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наявні</w:t>
            </w:r>
          </w:p>
        </w:tc>
        <w:tc>
          <w:tcPr>
            <w:tcW w:w="991" w:type="dxa"/>
            <w:tcBorders>
              <w:top w:val="single" w:sz="2" w:space="0" w:color="auto"/>
              <w:left w:val="single" w:sz="2" w:space="0" w:color="auto"/>
              <w:bottom w:val="single" w:sz="2" w:space="0" w:color="auto"/>
              <w:right w:val="single" w:sz="2" w:space="0" w:color="auto"/>
            </w:tcBorders>
            <w:hideMark/>
          </w:tcPr>
          <w:p w14:paraId="1984E9A9" w14:textId="2D4D84F0"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2C23CE6A" w14:textId="77777777" w:rsidTr="00466976">
        <w:tc>
          <w:tcPr>
            <w:tcW w:w="0" w:type="auto"/>
            <w:vMerge/>
            <w:tcBorders>
              <w:top w:val="single" w:sz="2" w:space="0" w:color="auto"/>
              <w:left w:val="single" w:sz="2" w:space="0" w:color="auto"/>
              <w:bottom w:val="single" w:sz="4" w:space="0" w:color="auto"/>
              <w:right w:val="single" w:sz="2" w:space="0" w:color="auto"/>
            </w:tcBorders>
            <w:hideMark/>
          </w:tcPr>
          <w:p w14:paraId="1CBB41C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4" w:space="0" w:color="auto"/>
              <w:right w:val="single" w:sz="2" w:space="0" w:color="auto"/>
            </w:tcBorders>
            <w:hideMark/>
          </w:tcPr>
          <w:p w14:paraId="56D6B11A" w14:textId="7EB3E22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w:t>
            </w:r>
          </w:p>
        </w:tc>
        <w:tc>
          <w:tcPr>
            <w:tcW w:w="991" w:type="dxa"/>
            <w:tcBorders>
              <w:top w:val="single" w:sz="2" w:space="0" w:color="auto"/>
              <w:left w:val="single" w:sz="2" w:space="0" w:color="auto"/>
              <w:bottom w:val="single" w:sz="4" w:space="0" w:color="auto"/>
              <w:right w:val="single" w:sz="2" w:space="0" w:color="auto"/>
            </w:tcBorders>
            <w:hideMark/>
          </w:tcPr>
          <w:p w14:paraId="0555156E" w14:textId="37251CEC"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0</w:t>
            </w:r>
          </w:p>
        </w:tc>
      </w:tr>
      <w:tr w:rsidR="00EB302E" w:rsidRPr="00A91D69" w14:paraId="257D92EB" w14:textId="77777777" w:rsidTr="00466976">
        <w:trPr>
          <w:trHeight w:val="543"/>
        </w:trPr>
        <w:tc>
          <w:tcPr>
            <w:tcW w:w="7268" w:type="dxa"/>
            <w:vMerge w:val="restart"/>
            <w:tcBorders>
              <w:top w:val="single" w:sz="4" w:space="0" w:color="auto"/>
              <w:left w:val="single" w:sz="4" w:space="0" w:color="auto"/>
              <w:bottom w:val="single" w:sz="4" w:space="0" w:color="auto"/>
              <w:right w:val="single" w:sz="4" w:space="0" w:color="auto"/>
            </w:tcBorders>
            <w:hideMark/>
          </w:tcPr>
          <w:p w14:paraId="74B28DD9" w14:textId="23E14463" w:rsidR="00EB302E" w:rsidRPr="00A91D69"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t xml:space="preserve"> З</w:t>
            </w:r>
            <w:r w:rsidRPr="00691C6B">
              <w:rPr>
                <w:rFonts w:ascii="Times New Roman" w:eastAsia="Times New Roman" w:hAnsi="Times New Roman" w:cs="Times New Roman"/>
                <w:sz w:val="24"/>
                <w:szCs w:val="24"/>
                <w:lang w:eastAsia="uk-UA"/>
              </w:rPr>
              <w:t>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w:t>
            </w:r>
            <w:proofErr w:type="spellStart"/>
            <w:r w:rsidRPr="00691C6B">
              <w:rPr>
                <w:rFonts w:ascii="Times New Roman" w:eastAsia="Times New Roman" w:hAnsi="Times New Roman" w:cs="Times New Roman"/>
                <w:sz w:val="24"/>
                <w:szCs w:val="24"/>
                <w:lang w:eastAsia="uk-UA"/>
              </w:rPr>
              <w:t>аутсорсингової</w:t>
            </w:r>
            <w:proofErr w:type="spellEnd"/>
            <w:r w:rsidRPr="00691C6B">
              <w:rPr>
                <w:rFonts w:ascii="Times New Roman" w:eastAsia="Times New Roman" w:hAnsi="Times New Roman" w:cs="Times New Roman"/>
                <w:sz w:val="24"/>
                <w:szCs w:val="24"/>
                <w:lang w:eastAsia="uk-UA"/>
              </w:rPr>
              <w:t>) діяльності</w:t>
            </w:r>
          </w:p>
        </w:tc>
        <w:tc>
          <w:tcPr>
            <w:tcW w:w="1380" w:type="dxa"/>
            <w:tcBorders>
              <w:top w:val="single" w:sz="4" w:space="0" w:color="auto"/>
              <w:left w:val="single" w:sz="4" w:space="0" w:color="auto"/>
              <w:bottom w:val="single" w:sz="4" w:space="0" w:color="auto"/>
              <w:right w:val="single" w:sz="4" w:space="0" w:color="auto"/>
            </w:tcBorders>
          </w:tcPr>
          <w:p w14:paraId="00F8B9C5" w14:textId="119333A6"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наявний</w:t>
            </w:r>
          </w:p>
        </w:tc>
        <w:tc>
          <w:tcPr>
            <w:tcW w:w="991" w:type="dxa"/>
            <w:tcBorders>
              <w:top w:val="single" w:sz="4" w:space="0" w:color="auto"/>
              <w:left w:val="single" w:sz="4" w:space="0" w:color="auto"/>
              <w:bottom w:val="single" w:sz="4" w:space="0" w:color="auto"/>
              <w:right w:val="single" w:sz="4" w:space="0" w:color="auto"/>
            </w:tcBorders>
          </w:tcPr>
          <w:p w14:paraId="60FB5876" w14:textId="1480BDF1"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66FB9328" w14:textId="77777777" w:rsidTr="00466976">
        <w:trPr>
          <w:trHeight w:val="282"/>
        </w:trPr>
        <w:tc>
          <w:tcPr>
            <w:tcW w:w="7268" w:type="dxa"/>
            <w:vMerge/>
            <w:tcBorders>
              <w:top w:val="single" w:sz="4" w:space="0" w:color="auto"/>
              <w:left w:val="single" w:sz="4" w:space="0" w:color="auto"/>
              <w:bottom w:val="single" w:sz="4" w:space="0" w:color="auto"/>
              <w:right w:val="single" w:sz="4" w:space="0" w:color="auto"/>
            </w:tcBorders>
          </w:tcPr>
          <w:p w14:paraId="5D79FD76" w14:textId="77777777" w:rsidR="00EB302E" w:rsidRDefault="00EB302E" w:rsidP="00EB302E">
            <w:pPr>
              <w:shd w:val="clear" w:color="auto" w:fill="FFFFFF"/>
              <w:spacing w:after="0" w:line="240" w:lineRule="auto"/>
              <w:jc w:val="both"/>
              <w:rPr>
                <w:rFonts w:ascii="Times New Roman" w:eastAsia="Times New Roman" w:hAnsi="Times New Roman" w:cs="Times New Roman"/>
                <w:sz w:val="24"/>
                <w:szCs w:val="24"/>
                <w:lang w:eastAsia="uk-UA"/>
              </w:rPr>
            </w:pPr>
          </w:p>
        </w:tc>
        <w:tc>
          <w:tcPr>
            <w:tcW w:w="1380" w:type="dxa"/>
            <w:tcBorders>
              <w:top w:val="single" w:sz="4" w:space="0" w:color="auto"/>
              <w:left w:val="single" w:sz="4" w:space="0" w:color="auto"/>
              <w:bottom w:val="single" w:sz="4" w:space="0" w:color="auto"/>
              <w:right w:val="single" w:sz="4" w:space="0" w:color="auto"/>
            </w:tcBorders>
          </w:tcPr>
          <w:p w14:paraId="2BFD8BA2" w14:textId="60F4A128"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відсутній</w:t>
            </w:r>
          </w:p>
        </w:tc>
        <w:tc>
          <w:tcPr>
            <w:tcW w:w="991" w:type="dxa"/>
            <w:tcBorders>
              <w:top w:val="single" w:sz="4" w:space="0" w:color="auto"/>
              <w:left w:val="single" w:sz="4" w:space="0" w:color="auto"/>
              <w:bottom w:val="single" w:sz="4" w:space="0" w:color="auto"/>
              <w:right w:val="single" w:sz="4" w:space="0" w:color="auto"/>
            </w:tcBorders>
          </w:tcPr>
          <w:p w14:paraId="38E291AE" w14:textId="174C0B2D"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76811F1C" w14:textId="77777777" w:rsidTr="00466976">
        <w:tc>
          <w:tcPr>
            <w:tcW w:w="7268" w:type="dxa"/>
            <w:vMerge w:val="restart"/>
            <w:tcBorders>
              <w:top w:val="single" w:sz="4" w:space="0" w:color="auto"/>
              <w:left w:val="single" w:sz="2" w:space="0" w:color="auto"/>
              <w:bottom w:val="single" w:sz="2" w:space="0" w:color="auto"/>
              <w:right w:val="single" w:sz="2" w:space="0" w:color="auto"/>
            </w:tcBorders>
            <w:hideMark/>
          </w:tcPr>
          <w:p w14:paraId="01810C25" w14:textId="417E4A1C" w:rsidR="00EB302E" w:rsidRPr="00A91D69" w:rsidRDefault="00EB302E" w:rsidP="00EB302E">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w:t>
            </w:r>
            <w:r w:rsidRPr="00A91D6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w:t>
            </w:r>
            <w:r w:rsidRPr="00691C6B">
              <w:rPr>
                <w:rFonts w:ascii="Times New Roman" w:eastAsia="Times New Roman" w:hAnsi="Times New Roman" w:cs="Times New Roman"/>
                <w:sz w:val="24"/>
                <w:szCs w:val="24"/>
                <w:lang w:eastAsia="uk-UA"/>
              </w:rPr>
              <w:t>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w:t>
            </w:r>
            <w:proofErr w:type="spellStart"/>
            <w:r w:rsidRPr="00691C6B">
              <w:rPr>
                <w:rFonts w:ascii="Times New Roman" w:eastAsia="Times New Roman" w:hAnsi="Times New Roman" w:cs="Times New Roman"/>
                <w:sz w:val="24"/>
                <w:szCs w:val="24"/>
                <w:lang w:eastAsia="uk-UA"/>
              </w:rPr>
              <w:t>аутсорсингової</w:t>
            </w:r>
            <w:proofErr w:type="spellEnd"/>
            <w:r w:rsidRPr="00691C6B">
              <w:rPr>
                <w:rFonts w:ascii="Times New Roman" w:eastAsia="Times New Roman" w:hAnsi="Times New Roman" w:cs="Times New Roman"/>
                <w:sz w:val="24"/>
                <w:szCs w:val="24"/>
                <w:lang w:eastAsia="uk-UA"/>
              </w:rPr>
              <w:t>) діяльності</w:t>
            </w:r>
          </w:p>
        </w:tc>
        <w:tc>
          <w:tcPr>
            <w:tcW w:w="1380" w:type="dxa"/>
            <w:tcBorders>
              <w:top w:val="single" w:sz="4" w:space="0" w:color="auto"/>
              <w:left w:val="single" w:sz="2" w:space="0" w:color="auto"/>
              <w:bottom w:val="single" w:sz="2" w:space="0" w:color="auto"/>
              <w:right w:val="single" w:sz="2" w:space="0" w:color="auto"/>
            </w:tcBorders>
            <w:hideMark/>
          </w:tcPr>
          <w:p w14:paraId="4EBB9333" w14:textId="185BDC35"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наявні</w:t>
            </w:r>
          </w:p>
        </w:tc>
        <w:tc>
          <w:tcPr>
            <w:tcW w:w="991" w:type="dxa"/>
            <w:tcBorders>
              <w:top w:val="single" w:sz="4" w:space="0" w:color="auto"/>
              <w:left w:val="single" w:sz="2" w:space="0" w:color="auto"/>
              <w:bottom w:val="single" w:sz="2" w:space="0" w:color="auto"/>
              <w:right w:val="single" w:sz="2" w:space="0" w:color="auto"/>
            </w:tcBorders>
            <w:hideMark/>
          </w:tcPr>
          <w:p w14:paraId="0D0AE85E" w14:textId="17E54399"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EB302E" w:rsidRPr="00A91D69" w14:paraId="576F54AC" w14:textId="77777777" w:rsidTr="00466976">
        <w:tc>
          <w:tcPr>
            <w:tcW w:w="0" w:type="auto"/>
            <w:vMerge/>
            <w:tcBorders>
              <w:top w:val="single" w:sz="2" w:space="0" w:color="auto"/>
              <w:left w:val="single" w:sz="2" w:space="0" w:color="auto"/>
              <w:bottom w:val="single" w:sz="2" w:space="0" w:color="auto"/>
              <w:right w:val="single" w:sz="2" w:space="0" w:color="auto"/>
            </w:tcBorders>
            <w:hideMark/>
          </w:tcPr>
          <w:p w14:paraId="52936184" w14:textId="77777777" w:rsidR="00EB302E" w:rsidRPr="00A91D69" w:rsidRDefault="00EB302E" w:rsidP="00EB302E">
            <w:pPr>
              <w:spacing w:after="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hideMark/>
          </w:tcPr>
          <w:p w14:paraId="7B10F7F7" w14:textId="4727DD8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відсутні</w:t>
            </w:r>
          </w:p>
        </w:tc>
        <w:tc>
          <w:tcPr>
            <w:tcW w:w="991" w:type="dxa"/>
            <w:tcBorders>
              <w:top w:val="single" w:sz="2" w:space="0" w:color="auto"/>
              <w:left w:val="single" w:sz="2" w:space="0" w:color="auto"/>
              <w:bottom w:val="single" w:sz="2" w:space="0" w:color="auto"/>
              <w:right w:val="single" w:sz="2" w:space="0" w:color="auto"/>
            </w:tcBorders>
            <w:hideMark/>
          </w:tcPr>
          <w:p w14:paraId="5505B7F7" w14:textId="1EA6603A" w:rsidR="00EB302E" w:rsidRPr="00A91D69" w:rsidRDefault="00EB302E" w:rsidP="00EB302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EB302E" w:rsidRPr="00A91D69" w14:paraId="01729CB6" w14:textId="77777777" w:rsidTr="00466976">
        <w:trPr>
          <w:trHeight w:val="204"/>
        </w:trPr>
        <w:tc>
          <w:tcPr>
            <w:tcW w:w="0" w:type="auto"/>
            <w:vMerge w:val="restart"/>
            <w:tcBorders>
              <w:top w:val="single" w:sz="2" w:space="0" w:color="auto"/>
              <w:left w:val="single" w:sz="2" w:space="0" w:color="auto"/>
              <w:right w:val="single" w:sz="2" w:space="0" w:color="auto"/>
            </w:tcBorders>
          </w:tcPr>
          <w:p w14:paraId="6510316F" w14:textId="5899C633" w:rsidR="00EB302E" w:rsidRPr="00BD1396" w:rsidRDefault="00EB302E" w:rsidP="00EB302E">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7</w:t>
            </w:r>
            <w:r w:rsidRPr="00A91D6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w:t>
            </w:r>
            <w:r w:rsidRPr="00691C6B">
              <w:rPr>
                <w:rFonts w:ascii="Times New Roman" w:eastAsia="Times New Roman" w:hAnsi="Times New Roman" w:cs="Times New Roman"/>
                <w:sz w:val="24"/>
                <w:szCs w:val="24"/>
                <w:lang w:eastAsia="uk-UA"/>
              </w:rPr>
              <w:t xml:space="preserve">абезпечення комп’ютеризації технологічних процесів та внутрішньої мережі для використання програмних продуктів з метою забезпечення </w:t>
            </w:r>
            <w:proofErr w:type="spellStart"/>
            <w:r w:rsidRPr="00691C6B">
              <w:rPr>
                <w:rFonts w:ascii="Times New Roman" w:eastAsia="Times New Roman" w:hAnsi="Times New Roman" w:cs="Times New Roman"/>
                <w:sz w:val="24"/>
                <w:szCs w:val="24"/>
                <w:lang w:eastAsia="uk-UA"/>
              </w:rPr>
              <w:t>простежуваності</w:t>
            </w:r>
            <w:proofErr w:type="spellEnd"/>
            <w:r w:rsidRPr="00691C6B">
              <w:rPr>
                <w:rFonts w:ascii="Times New Roman" w:eastAsia="Times New Roman" w:hAnsi="Times New Roman" w:cs="Times New Roman"/>
                <w:sz w:val="24"/>
                <w:szCs w:val="24"/>
                <w:lang w:eastAsia="uk-UA"/>
              </w:rPr>
              <w:t xml:space="preserve"> та дотримання процедури верифікації донорської крові та компонентів крові</w:t>
            </w:r>
          </w:p>
        </w:tc>
        <w:tc>
          <w:tcPr>
            <w:tcW w:w="1380" w:type="dxa"/>
            <w:tcBorders>
              <w:top w:val="single" w:sz="2" w:space="0" w:color="auto"/>
              <w:left w:val="single" w:sz="2" w:space="0" w:color="auto"/>
              <w:bottom w:val="single" w:sz="2" w:space="0" w:color="auto"/>
              <w:right w:val="single" w:sz="2" w:space="0" w:color="auto"/>
            </w:tcBorders>
          </w:tcPr>
          <w:p w14:paraId="39455F31" w14:textId="136CAA99"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A91D69">
              <w:rPr>
                <w:rFonts w:ascii="Times New Roman" w:eastAsia="Times New Roman" w:hAnsi="Times New Roman" w:cs="Times New Roman"/>
                <w:sz w:val="24"/>
                <w:szCs w:val="24"/>
                <w:lang w:eastAsia="uk-UA"/>
              </w:rPr>
              <w:t>наявн</w:t>
            </w:r>
            <w:r>
              <w:rPr>
                <w:rFonts w:ascii="Times New Roman" w:eastAsia="Times New Roman" w:hAnsi="Times New Roman" w:cs="Times New Roman"/>
                <w:sz w:val="24"/>
                <w:szCs w:val="24"/>
                <w:lang w:eastAsia="uk-UA"/>
              </w:rPr>
              <w:t>а</w:t>
            </w:r>
          </w:p>
        </w:tc>
        <w:tc>
          <w:tcPr>
            <w:tcW w:w="991" w:type="dxa"/>
            <w:tcBorders>
              <w:top w:val="single" w:sz="2" w:space="0" w:color="auto"/>
              <w:left w:val="single" w:sz="2" w:space="0" w:color="auto"/>
              <w:bottom w:val="single" w:sz="2" w:space="0" w:color="auto"/>
              <w:right w:val="single" w:sz="2" w:space="0" w:color="auto"/>
            </w:tcBorders>
          </w:tcPr>
          <w:p w14:paraId="3561BBE9" w14:textId="0F4FD86B"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w:t>
            </w:r>
          </w:p>
        </w:tc>
      </w:tr>
      <w:tr w:rsidR="00EB302E" w:rsidRPr="00A91D69" w14:paraId="656936E7" w14:textId="77777777" w:rsidTr="00466976">
        <w:trPr>
          <w:trHeight w:val="204"/>
        </w:trPr>
        <w:tc>
          <w:tcPr>
            <w:tcW w:w="0" w:type="auto"/>
            <w:vMerge/>
            <w:tcBorders>
              <w:left w:val="single" w:sz="2" w:space="0" w:color="auto"/>
              <w:bottom w:val="single" w:sz="2" w:space="0" w:color="auto"/>
              <w:right w:val="single" w:sz="2" w:space="0" w:color="auto"/>
            </w:tcBorders>
          </w:tcPr>
          <w:p w14:paraId="24F29509" w14:textId="77777777" w:rsidR="00EB302E" w:rsidRPr="00BD1396" w:rsidRDefault="00EB302E" w:rsidP="00EB302E">
            <w:pPr>
              <w:spacing w:after="0" w:line="240" w:lineRule="auto"/>
              <w:rPr>
                <w:rFonts w:ascii="Times New Roman" w:eastAsia="Times New Roman" w:hAnsi="Times New Roman" w:cs="Times New Roman"/>
                <w:color w:val="000000" w:themeColor="text1"/>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tcPr>
          <w:p w14:paraId="094C467A" w14:textId="5B9D6958"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A91D69">
              <w:rPr>
                <w:rFonts w:ascii="Times New Roman" w:eastAsia="Times New Roman" w:hAnsi="Times New Roman" w:cs="Times New Roman"/>
                <w:sz w:val="24"/>
                <w:szCs w:val="24"/>
                <w:lang w:eastAsia="uk-UA"/>
              </w:rPr>
              <w:t>відсутн</w:t>
            </w:r>
            <w:r>
              <w:rPr>
                <w:rFonts w:ascii="Times New Roman" w:eastAsia="Times New Roman" w:hAnsi="Times New Roman" w:cs="Times New Roman"/>
                <w:sz w:val="24"/>
                <w:szCs w:val="24"/>
                <w:lang w:eastAsia="uk-UA"/>
              </w:rPr>
              <w:t>я</w:t>
            </w:r>
          </w:p>
        </w:tc>
        <w:tc>
          <w:tcPr>
            <w:tcW w:w="991" w:type="dxa"/>
            <w:tcBorders>
              <w:top w:val="single" w:sz="2" w:space="0" w:color="auto"/>
              <w:left w:val="single" w:sz="2" w:space="0" w:color="auto"/>
              <w:bottom w:val="single" w:sz="2" w:space="0" w:color="auto"/>
              <w:right w:val="single" w:sz="2" w:space="0" w:color="auto"/>
            </w:tcBorders>
          </w:tcPr>
          <w:p w14:paraId="4E386AE2" w14:textId="4E38BFAE" w:rsidR="00EB302E" w:rsidRPr="00BD1396" w:rsidRDefault="00EB302E"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5</w:t>
            </w:r>
          </w:p>
        </w:tc>
      </w:tr>
      <w:tr w:rsidR="00466976" w:rsidRPr="00A91D69" w14:paraId="178979C7" w14:textId="77777777" w:rsidTr="00466976">
        <w:trPr>
          <w:trHeight w:val="915"/>
        </w:trPr>
        <w:tc>
          <w:tcPr>
            <w:tcW w:w="0" w:type="auto"/>
            <w:vMerge w:val="restart"/>
            <w:tcBorders>
              <w:left w:val="single" w:sz="2" w:space="0" w:color="auto"/>
              <w:right w:val="single" w:sz="2" w:space="0" w:color="auto"/>
            </w:tcBorders>
          </w:tcPr>
          <w:p w14:paraId="2CB754F5" w14:textId="4DA409E6" w:rsidR="00466976" w:rsidRPr="00BD1396" w:rsidRDefault="00466976" w:rsidP="00EB302E">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8</w:t>
            </w:r>
            <w:r w:rsidRPr="00BD1396">
              <w:rPr>
                <w:rFonts w:ascii="Times New Roman" w:eastAsia="Times New Roman" w:hAnsi="Times New Roman" w:cs="Times New Roman"/>
                <w:color w:val="000000" w:themeColor="text1"/>
                <w:sz w:val="24"/>
                <w:szCs w:val="24"/>
                <w:lang w:eastAsia="uk-UA"/>
              </w:rPr>
              <w:t xml:space="preserve">. </w:t>
            </w:r>
            <w:r>
              <w:rPr>
                <w:rFonts w:ascii="Times New Roman" w:eastAsia="Times New Roman" w:hAnsi="Times New Roman" w:cs="Times New Roman"/>
                <w:color w:val="000000" w:themeColor="text1"/>
                <w:sz w:val="24"/>
                <w:szCs w:val="24"/>
                <w:lang w:eastAsia="uk-UA"/>
              </w:rPr>
              <w:t>Н</w:t>
            </w:r>
            <w:r w:rsidRPr="00691C6B">
              <w:rPr>
                <w:rFonts w:ascii="Times New Roman" w:eastAsia="Times New Roman" w:hAnsi="Times New Roman" w:cs="Times New Roman"/>
                <w:color w:val="000000" w:themeColor="text1"/>
                <w:sz w:val="24"/>
                <w:szCs w:val="24"/>
                <w:lang w:eastAsia="uk-UA"/>
              </w:rPr>
              <w:t xml:space="preserve">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Pr>
                <w:rFonts w:ascii="Times New Roman" w:eastAsia="Times New Roman" w:hAnsi="Times New Roman" w:cs="Times New Roman"/>
                <w:color w:val="000000" w:themeColor="text1"/>
                <w:sz w:val="24"/>
                <w:szCs w:val="24"/>
                <w:lang w:eastAsia="uk-UA"/>
              </w:rPr>
              <w:t>двох</w:t>
            </w:r>
            <w:r w:rsidRPr="00691C6B">
              <w:rPr>
                <w:rFonts w:ascii="Times New Roman" w:eastAsia="Times New Roman" w:hAnsi="Times New Roman" w:cs="Times New Roman"/>
                <w:color w:val="000000" w:themeColor="text1"/>
                <w:sz w:val="24"/>
                <w:szCs w:val="24"/>
                <w:lang w:eastAsia="uk-UA"/>
              </w:rPr>
              <w:t xml:space="preserve"> років, що передують плановому періоду</w:t>
            </w:r>
          </w:p>
        </w:tc>
        <w:tc>
          <w:tcPr>
            <w:tcW w:w="1380" w:type="dxa"/>
            <w:tcBorders>
              <w:top w:val="single" w:sz="2" w:space="0" w:color="auto"/>
              <w:left w:val="single" w:sz="2" w:space="0" w:color="auto"/>
              <w:bottom w:val="single" w:sz="4" w:space="0" w:color="auto"/>
              <w:right w:val="single" w:sz="2" w:space="0" w:color="auto"/>
            </w:tcBorders>
          </w:tcPr>
          <w:p w14:paraId="10430A5B" w14:textId="101FD254"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наявні</w:t>
            </w:r>
          </w:p>
        </w:tc>
        <w:tc>
          <w:tcPr>
            <w:tcW w:w="991" w:type="dxa"/>
            <w:tcBorders>
              <w:top w:val="single" w:sz="2" w:space="0" w:color="auto"/>
              <w:left w:val="single" w:sz="2" w:space="0" w:color="auto"/>
              <w:bottom w:val="single" w:sz="4" w:space="0" w:color="auto"/>
              <w:right w:val="single" w:sz="2" w:space="0" w:color="auto"/>
            </w:tcBorders>
          </w:tcPr>
          <w:p w14:paraId="76F1063E" w14:textId="2FD49E7C"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20</w:t>
            </w:r>
          </w:p>
        </w:tc>
      </w:tr>
      <w:tr w:rsidR="00466976" w:rsidRPr="00A91D69" w14:paraId="7B288011" w14:textId="77777777" w:rsidTr="00466976">
        <w:trPr>
          <w:trHeight w:val="1035"/>
        </w:trPr>
        <w:tc>
          <w:tcPr>
            <w:tcW w:w="0" w:type="auto"/>
            <w:vMerge/>
            <w:tcBorders>
              <w:left w:val="single" w:sz="2" w:space="0" w:color="auto"/>
              <w:bottom w:val="single" w:sz="2" w:space="0" w:color="auto"/>
              <w:right w:val="single" w:sz="2" w:space="0" w:color="auto"/>
            </w:tcBorders>
          </w:tcPr>
          <w:p w14:paraId="426F3FE6" w14:textId="77777777" w:rsidR="00466976" w:rsidRDefault="00466976" w:rsidP="00EB302E">
            <w:pPr>
              <w:spacing w:after="0" w:line="240" w:lineRule="auto"/>
              <w:rPr>
                <w:rFonts w:ascii="Times New Roman" w:eastAsia="Times New Roman" w:hAnsi="Times New Roman" w:cs="Times New Roman"/>
                <w:color w:val="000000" w:themeColor="text1"/>
                <w:sz w:val="24"/>
                <w:szCs w:val="24"/>
                <w:lang w:eastAsia="uk-UA"/>
              </w:rPr>
            </w:pPr>
          </w:p>
        </w:tc>
        <w:tc>
          <w:tcPr>
            <w:tcW w:w="1380" w:type="dxa"/>
            <w:tcBorders>
              <w:top w:val="single" w:sz="4" w:space="0" w:color="auto"/>
              <w:left w:val="single" w:sz="2" w:space="0" w:color="auto"/>
              <w:bottom w:val="single" w:sz="2" w:space="0" w:color="auto"/>
              <w:right w:val="single" w:sz="2" w:space="0" w:color="auto"/>
            </w:tcBorders>
          </w:tcPr>
          <w:p w14:paraId="40F321F6" w14:textId="6E3E0D15"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відсутні</w:t>
            </w:r>
          </w:p>
        </w:tc>
        <w:tc>
          <w:tcPr>
            <w:tcW w:w="991" w:type="dxa"/>
            <w:tcBorders>
              <w:top w:val="single" w:sz="4" w:space="0" w:color="auto"/>
              <w:left w:val="single" w:sz="2" w:space="0" w:color="auto"/>
              <w:bottom w:val="single" w:sz="2" w:space="0" w:color="auto"/>
              <w:right w:val="single" w:sz="2" w:space="0" w:color="auto"/>
            </w:tcBorders>
          </w:tcPr>
          <w:p w14:paraId="4A6AB82D" w14:textId="70C6BF33" w:rsidR="00466976" w:rsidRPr="00BD1396" w:rsidRDefault="00466976" w:rsidP="00EB302E">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0</w:t>
            </w:r>
          </w:p>
        </w:tc>
      </w:tr>
    </w:tbl>
    <w:p w14:paraId="42EABB84" w14:textId="62773B9C" w:rsidR="00734E4D" w:rsidRDefault="00734E4D" w:rsidP="00A161CC">
      <w:pPr>
        <w:jc w:val="center"/>
        <w:rPr>
          <w:rFonts w:ascii="Times New Roman" w:eastAsia="Times New Roman" w:hAnsi="Times New Roman" w:cs="Times New Roman"/>
          <w:color w:val="333333"/>
          <w:sz w:val="24"/>
          <w:szCs w:val="24"/>
          <w:lang w:eastAsia="uk-UA"/>
        </w:rPr>
      </w:pPr>
      <w:bookmarkStart w:id="3" w:name="n38"/>
      <w:bookmarkStart w:id="4" w:name="n60"/>
      <w:bookmarkEnd w:id="3"/>
      <w:bookmarkEnd w:id="4"/>
    </w:p>
    <w:p w14:paraId="1336C982" w14:textId="77777777" w:rsidR="00734E4D" w:rsidRDefault="00734E4D" w:rsidP="00A161CC">
      <w:pPr>
        <w:jc w:val="center"/>
      </w:pPr>
    </w:p>
    <w:p w14:paraId="294D4D29" w14:textId="4BDC92A3" w:rsidR="00734E4D" w:rsidRPr="00734E4D" w:rsidRDefault="00734E4D" w:rsidP="00A161CC">
      <w:pPr>
        <w:jc w:val="center"/>
        <w:rPr>
          <w:rFonts w:ascii="Times New Roman" w:hAnsi="Times New Roman" w:cs="Times New Roman"/>
          <w:b/>
          <w:bCs/>
          <w:sz w:val="24"/>
          <w:szCs w:val="24"/>
        </w:rPr>
      </w:pPr>
      <w:r w:rsidRPr="00734E4D">
        <w:rPr>
          <w:rFonts w:ascii="Times New Roman" w:hAnsi="Times New Roman" w:cs="Times New Roman"/>
          <w:b/>
          <w:bCs/>
          <w:sz w:val="24"/>
          <w:szCs w:val="24"/>
        </w:rPr>
        <w:t>Шкала балів та періодичності проведення планових заходів державного нагляду (контролю)</w:t>
      </w:r>
    </w:p>
    <w:tbl>
      <w:tblPr>
        <w:tblStyle w:val="ac"/>
        <w:tblW w:w="0" w:type="auto"/>
        <w:tblLook w:val="04A0" w:firstRow="1" w:lastRow="0" w:firstColumn="1" w:lastColumn="0" w:noHBand="0" w:noVBand="1"/>
      </w:tblPr>
      <w:tblGrid>
        <w:gridCol w:w="3209"/>
        <w:gridCol w:w="3210"/>
        <w:gridCol w:w="3210"/>
      </w:tblGrid>
      <w:tr w:rsidR="007F13EF" w14:paraId="68A7694B" w14:textId="77777777" w:rsidTr="007F13EF">
        <w:tc>
          <w:tcPr>
            <w:tcW w:w="3209" w:type="dxa"/>
          </w:tcPr>
          <w:p w14:paraId="1561FCD2" w14:textId="12E7F769"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Шкала балів</w:t>
            </w:r>
          </w:p>
        </w:tc>
        <w:tc>
          <w:tcPr>
            <w:tcW w:w="3210" w:type="dxa"/>
          </w:tcPr>
          <w:p w14:paraId="6B2CC327" w14:textId="1ED0D482"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Ступінь ризику від провадження господарської діяльності</w:t>
            </w:r>
          </w:p>
        </w:tc>
        <w:tc>
          <w:tcPr>
            <w:tcW w:w="3210" w:type="dxa"/>
          </w:tcPr>
          <w:p w14:paraId="2F479838" w14:textId="6797D405" w:rsidR="007F13EF" w:rsidRPr="007F13EF" w:rsidRDefault="007F13EF" w:rsidP="007F13EF">
            <w:pPr>
              <w:jc w:val="center"/>
              <w:rPr>
                <w:rFonts w:ascii="Times New Roman" w:hAnsi="Times New Roman" w:cs="Times New Roman"/>
                <w:sz w:val="24"/>
                <w:szCs w:val="24"/>
              </w:rPr>
            </w:pPr>
            <w:r w:rsidRPr="007F13EF">
              <w:rPr>
                <w:rFonts w:ascii="Times New Roman" w:hAnsi="Times New Roman" w:cs="Times New Roman"/>
                <w:sz w:val="24"/>
                <w:szCs w:val="24"/>
              </w:rPr>
              <w:t>Періодичність проведення планових заходів державного нагляду (контролю)</w:t>
            </w:r>
          </w:p>
        </w:tc>
      </w:tr>
      <w:tr w:rsidR="007F13EF" w14:paraId="42EAE079" w14:textId="77777777" w:rsidTr="007F13EF">
        <w:tc>
          <w:tcPr>
            <w:tcW w:w="3209" w:type="dxa"/>
          </w:tcPr>
          <w:p w14:paraId="797F50FD" w14:textId="20E0DEEB" w:rsidR="007F13EF"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w:t>
            </w:r>
            <w:r w:rsidR="00E36923">
              <w:rPr>
                <w:rFonts w:ascii="Times New Roman" w:hAnsi="Times New Roman" w:cs="Times New Roman"/>
                <w:sz w:val="24"/>
                <w:szCs w:val="24"/>
              </w:rPr>
              <w:t>7</w:t>
            </w:r>
            <w:r w:rsidRPr="0032030C">
              <w:rPr>
                <w:rFonts w:ascii="Times New Roman" w:hAnsi="Times New Roman" w:cs="Times New Roman"/>
                <w:sz w:val="24"/>
                <w:szCs w:val="24"/>
              </w:rPr>
              <w:t>1 до 100 балів</w:t>
            </w:r>
          </w:p>
        </w:tc>
        <w:tc>
          <w:tcPr>
            <w:tcW w:w="3210" w:type="dxa"/>
          </w:tcPr>
          <w:p w14:paraId="2452E596" w14:textId="7ACEFF5F" w:rsidR="007F13EF" w:rsidRPr="0032030C" w:rsidRDefault="00446E52" w:rsidP="0032030C">
            <w:pPr>
              <w:jc w:val="center"/>
              <w:rPr>
                <w:rFonts w:ascii="Times New Roman" w:hAnsi="Times New Roman" w:cs="Times New Roman"/>
                <w:sz w:val="24"/>
                <w:szCs w:val="24"/>
              </w:rPr>
            </w:pPr>
            <w:r>
              <w:rPr>
                <w:rFonts w:ascii="Times New Roman" w:hAnsi="Times New Roman" w:cs="Times New Roman"/>
                <w:sz w:val="24"/>
                <w:szCs w:val="24"/>
              </w:rPr>
              <w:t>в</w:t>
            </w:r>
            <w:r w:rsidR="0032030C" w:rsidRPr="0032030C">
              <w:rPr>
                <w:rFonts w:ascii="Times New Roman" w:hAnsi="Times New Roman" w:cs="Times New Roman"/>
                <w:sz w:val="24"/>
                <w:szCs w:val="24"/>
              </w:rPr>
              <w:t>исокий</w:t>
            </w:r>
            <w:r>
              <w:rPr>
                <w:rFonts w:ascii="Times New Roman" w:hAnsi="Times New Roman" w:cs="Times New Roman"/>
                <w:sz w:val="24"/>
                <w:szCs w:val="24"/>
              </w:rPr>
              <w:t xml:space="preserve"> ризик</w:t>
            </w:r>
          </w:p>
        </w:tc>
        <w:tc>
          <w:tcPr>
            <w:tcW w:w="3210" w:type="dxa"/>
          </w:tcPr>
          <w:p w14:paraId="1B3E5FB8" w14:textId="49B3AE73" w:rsidR="007F13EF"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рік</w:t>
            </w:r>
          </w:p>
        </w:tc>
      </w:tr>
      <w:tr w:rsidR="0032030C" w14:paraId="18384BE1" w14:textId="77777777" w:rsidTr="007F13EF">
        <w:tc>
          <w:tcPr>
            <w:tcW w:w="3209" w:type="dxa"/>
          </w:tcPr>
          <w:p w14:paraId="50FC9EC1" w14:textId="59371B1E"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w:t>
            </w:r>
            <w:r w:rsidR="00E36923">
              <w:rPr>
                <w:rFonts w:ascii="Times New Roman" w:hAnsi="Times New Roman" w:cs="Times New Roman"/>
                <w:sz w:val="24"/>
                <w:szCs w:val="24"/>
              </w:rPr>
              <w:t>3</w:t>
            </w:r>
            <w:r w:rsidRPr="0032030C">
              <w:rPr>
                <w:rFonts w:ascii="Times New Roman" w:hAnsi="Times New Roman" w:cs="Times New Roman"/>
                <w:sz w:val="24"/>
                <w:szCs w:val="24"/>
              </w:rPr>
              <w:t xml:space="preserve">1 до </w:t>
            </w:r>
            <w:r w:rsidR="00E36923">
              <w:rPr>
                <w:rFonts w:ascii="Times New Roman" w:hAnsi="Times New Roman" w:cs="Times New Roman"/>
                <w:sz w:val="24"/>
                <w:szCs w:val="24"/>
              </w:rPr>
              <w:t>7</w:t>
            </w:r>
            <w:r w:rsidRPr="0032030C">
              <w:rPr>
                <w:rFonts w:ascii="Times New Roman" w:hAnsi="Times New Roman" w:cs="Times New Roman"/>
                <w:sz w:val="24"/>
                <w:szCs w:val="24"/>
              </w:rPr>
              <w:t>0 балів</w:t>
            </w:r>
          </w:p>
        </w:tc>
        <w:tc>
          <w:tcPr>
            <w:tcW w:w="3210" w:type="dxa"/>
          </w:tcPr>
          <w:p w14:paraId="06632FC7" w14:textId="0D690BB7" w:rsidR="0032030C" w:rsidRPr="0032030C" w:rsidRDefault="00446E52" w:rsidP="0032030C">
            <w:pPr>
              <w:jc w:val="center"/>
              <w:rPr>
                <w:rFonts w:ascii="Times New Roman" w:hAnsi="Times New Roman" w:cs="Times New Roman"/>
                <w:sz w:val="24"/>
                <w:szCs w:val="24"/>
              </w:rPr>
            </w:pPr>
            <w:r>
              <w:rPr>
                <w:rFonts w:ascii="Times New Roman" w:hAnsi="Times New Roman" w:cs="Times New Roman"/>
                <w:sz w:val="24"/>
                <w:szCs w:val="24"/>
              </w:rPr>
              <w:t>с</w:t>
            </w:r>
            <w:r w:rsidR="0032030C" w:rsidRPr="0032030C">
              <w:rPr>
                <w:rFonts w:ascii="Times New Roman" w:hAnsi="Times New Roman" w:cs="Times New Roman"/>
                <w:sz w:val="24"/>
                <w:szCs w:val="24"/>
              </w:rPr>
              <w:t>ередній</w:t>
            </w:r>
            <w:r>
              <w:rPr>
                <w:rFonts w:ascii="Times New Roman" w:hAnsi="Times New Roman" w:cs="Times New Roman"/>
                <w:sz w:val="24"/>
                <w:szCs w:val="24"/>
              </w:rPr>
              <w:t xml:space="preserve"> ризик</w:t>
            </w:r>
          </w:p>
        </w:tc>
        <w:tc>
          <w:tcPr>
            <w:tcW w:w="3210" w:type="dxa"/>
          </w:tcPr>
          <w:p w14:paraId="262C9AB8" w14:textId="2F053E38"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півтора роки</w:t>
            </w:r>
          </w:p>
        </w:tc>
      </w:tr>
      <w:tr w:rsidR="0032030C" w14:paraId="41317455" w14:textId="77777777" w:rsidTr="007F13EF">
        <w:tc>
          <w:tcPr>
            <w:tcW w:w="3209" w:type="dxa"/>
          </w:tcPr>
          <w:p w14:paraId="6F30BFBF" w14:textId="6784E39E"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від 0 до </w:t>
            </w:r>
            <w:r w:rsidR="00E36923">
              <w:rPr>
                <w:rFonts w:ascii="Times New Roman" w:hAnsi="Times New Roman" w:cs="Times New Roman"/>
                <w:sz w:val="24"/>
                <w:szCs w:val="24"/>
              </w:rPr>
              <w:t>3</w:t>
            </w:r>
            <w:r w:rsidRPr="0032030C">
              <w:rPr>
                <w:rFonts w:ascii="Times New Roman" w:hAnsi="Times New Roman" w:cs="Times New Roman"/>
                <w:sz w:val="24"/>
                <w:szCs w:val="24"/>
              </w:rPr>
              <w:t>0 балів</w:t>
            </w:r>
          </w:p>
        </w:tc>
        <w:tc>
          <w:tcPr>
            <w:tcW w:w="3210" w:type="dxa"/>
          </w:tcPr>
          <w:p w14:paraId="3C38E871" w14:textId="116012F4" w:rsidR="0032030C" w:rsidRPr="0032030C" w:rsidRDefault="0032030C" w:rsidP="0032030C">
            <w:pPr>
              <w:jc w:val="center"/>
              <w:rPr>
                <w:rFonts w:ascii="Times New Roman" w:hAnsi="Times New Roman" w:cs="Times New Roman"/>
                <w:sz w:val="24"/>
                <w:szCs w:val="24"/>
              </w:rPr>
            </w:pPr>
            <w:r>
              <w:rPr>
                <w:rFonts w:ascii="Times New Roman" w:hAnsi="Times New Roman" w:cs="Times New Roman"/>
                <w:sz w:val="24"/>
                <w:szCs w:val="24"/>
              </w:rPr>
              <w:t>н</w:t>
            </w:r>
            <w:r w:rsidRPr="0032030C">
              <w:rPr>
                <w:rFonts w:ascii="Times New Roman" w:hAnsi="Times New Roman" w:cs="Times New Roman"/>
                <w:sz w:val="24"/>
                <w:szCs w:val="24"/>
              </w:rPr>
              <w:t>езначний</w:t>
            </w:r>
            <w:r w:rsidR="00446E52">
              <w:rPr>
                <w:rFonts w:ascii="Times New Roman" w:hAnsi="Times New Roman" w:cs="Times New Roman"/>
                <w:sz w:val="24"/>
                <w:szCs w:val="24"/>
              </w:rPr>
              <w:t xml:space="preserve"> ризик</w:t>
            </w:r>
          </w:p>
        </w:tc>
        <w:tc>
          <w:tcPr>
            <w:tcW w:w="3210" w:type="dxa"/>
          </w:tcPr>
          <w:p w14:paraId="6E39F9CF" w14:textId="0B4C9218" w:rsidR="0032030C" w:rsidRPr="0032030C" w:rsidRDefault="0032030C" w:rsidP="0032030C">
            <w:pPr>
              <w:jc w:val="center"/>
              <w:rPr>
                <w:rFonts w:ascii="Times New Roman" w:hAnsi="Times New Roman" w:cs="Times New Roman"/>
                <w:sz w:val="24"/>
                <w:szCs w:val="24"/>
              </w:rPr>
            </w:pPr>
            <w:r w:rsidRPr="0032030C">
              <w:rPr>
                <w:rFonts w:ascii="Times New Roman" w:hAnsi="Times New Roman" w:cs="Times New Roman"/>
                <w:sz w:val="24"/>
                <w:szCs w:val="24"/>
              </w:rPr>
              <w:t xml:space="preserve">раз на </w:t>
            </w:r>
            <w:r w:rsidR="00E36923">
              <w:rPr>
                <w:rFonts w:ascii="Times New Roman" w:hAnsi="Times New Roman" w:cs="Times New Roman"/>
                <w:sz w:val="24"/>
                <w:szCs w:val="24"/>
              </w:rPr>
              <w:t>два роки</w:t>
            </w:r>
          </w:p>
        </w:tc>
      </w:tr>
    </w:tbl>
    <w:p w14:paraId="05B32A0B" w14:textId="77777777" w:rsidR="00C104E4" w:rsidRDefault="00C104E4"/>
    <w:sectPr w:rsidR="00C104E4" w:rsidSect="00466976">
      <w:pgSz w:w="11906" w:h="16838"/>
      <w:pgMar w:top="850" w:right="850"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24"/>
    <w:rsid w:val="001766A6"/>
    <w:rsid w:val="00183A02"/>
    <w:rsid w:val="001F6E25"/>
    <w:rsid w:val="00245E4F"/>
    <w:rsid w:val="00265505"/>
    <w:rsid w:val="00294259"/>
    <w:rsid w:val="002F7833"/>
    <w:rsid w:val="00304C27"/>
    <w:rsid w:val="0032030C"/>
    <w:rsid w:val="00446E52"/>
    <w:rsid w:val="00460B24"/>
    <w:rsid w:val="00466976"/>
    <w:rsid w:val="004759E1"/>
    <w:rsid w:val="004808F9"/>
    <w:rsid w:val="005502E3"/>
    <w:rsid w:val="00581BA6"/>
    <w:rsid w:val="00594D3C"/>
    <w:rsid w:val="005C7478"/>
    <w:rsid w:val="00667872"/>
    <w:rsid w:val="00691C6B"/>
    <w:rsid w:val="00734E4D"/>
    <w:rsid w:val="00793840"/>
    <w:rsid w:val="007A5781"/>
    <w:rsid w:val="007F13EF"/>
    <w:rsid w:val="009815A7"/>
    <w:rsid w:val="00983A5D"/>
    <w:rsid w:val="009D46F1"/>
    <w:rsid w:val="00A161CC"/>
    <w:rsid w:val="00A82B1F"/>
    <w:rsid w:val="00A91D69"/>
    <w:rsid w:val="00B349FE"/>
    <w:rsid w:val="00B82F79"/>
    <w:rsid w:val="00BA510F"/>
    <w:rsid w:val="00BD1396"/>
    <w:rsid w:val="00BF1E2D"/>
    <w:rsid w:val="00C104E4"/>
    <w:rsid w:val="00C61DAF"/>
    <w:rsid w:val="00C93A94"/>
    <w:rsid w:val="00CC1619"/>
    <w:rsid w:val="00E36923"/>
    <w:rsid w:val="00EB302E"/>
    <w:rsid w:val="00EB3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41BD"/>
  <w15:chartTrackingRefBased/>
  <w15:docId w15:val="{752D0F2A-CC68-4F3F-8796-09F40765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1D69"/>
  </w:style>
  <w:style w:type="paragraph" w:customStyle="1" w:styleId="rvps14">
    <w:name w:val="rvps14"/>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A91D69"/>
  </w:style>
  <w:style w:type="character" w:styleId="a3">
    <w:name w:val="Hyperlink"/>
    <w:basedOn w:val="a0"/>
    <w:uiPriority w:val="99"/>
    <w:semiHidden/>
    <w:unhideWhenUsed/>
    <w:rsid w:val="00A91D69"/>
    <w:rPr>
      <w:color w:val="0000FF"/>
      <w:u w:val="single"/>
    </w:rPr>
  </w:style>
  <w:style w:type="paragraph" w:styleId="a4">
    <w:name w:val="Revision"/>
    <w:hidden/>
    <w:uiPriority w:val="99"/>
    <w:semiHidden/>
    <w:rsid w:val="00594D3C"/>
    <w:pPr>
      <w:spacing w:after="0" w:line="240" w:lineRule="auto"/>
    </w:pPr>
  </w:style>
  <w:style w:type="paragraph" w:styleId="a5">
    <w:name w:val="Balloon Text"/>
    <w:basedOn w:val="a"/>
    <w:link w:val="a6"/>
    <w:uiPriority w:val="99"/>
    <w:semiHidden/>
    <w:unhideWhenUsed/>
    <w:rsid w:val="00594D3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94D3C"/>
    <w:rPr>
      <w:rFonts w:ascii="Segoe UI" w:hAnsi="Segoe UI" w:cs="Segoe UI"/>
      <w:sz w:val="18"/>
      <w:szCs w:val="18"/>
    </w:rPr>
  </w:style>
  <w:style w:type="character" w:styleId="a7">
    <w:name w:val="annotation reference"/>
    <w:basedOn w:val="a0"/>
    <w:semiHidden/>
    <w:unhideWhenUsed/>
    <w:rsid w:val="00EB3954"/>
    <w:rPr>
      <w:sz w:val="16"/>
      <w:szCs w:val="16"/>
    </w:rPr>
  </w:style>
  <w:style w:type="paragraph" w:styleId="a8">
    <w:name w:val="annotation text"/>
    <w:basedOn w:val="a"/>
    <w:link w:val="a9"/>
    <w:uiPriority w:val="99"/>
    <w:semiHidden/>
    <w:unhideWhenUsed/>
    <w:rsid w:val="00EB3954"/>
    <w:pPr>
      <w:spacing w:line="240" w:lineRule="auto"/>
    </w:pPr>
    <w:rPr>
      <w:sz w:val="20"/>
      <w:szCs w:val="20"/>
    </w:rPr>
  </w:style>
  <w:style w:type="character" w:customStyle="1" w:styleId="a9">
    <w:name w:val="Текст примітки Знак"/>
    <w:basedOn w:val="a0"/>
    <w:link w:val="a8"/>
    <w:uiPriority w:val="99"/>
    <w:semiHidden/>
    <w:rsid w:val="00EB3954"/>
    <w:rPr>
      <w:sz w:val="20"/>
      <w:szCs w:val="20"/>
    </w:rPr>
  </w:style>
  <w:style w:type="paragraph" w:styleId="aa">
    <w:name w:val="annotation subject"/>
    <w:basedOn w:val="a8"/>
    <w:next w:val="a8"/>
    <w:link w:val="ab"/>
    <w:uiPriority w:val="99"/>
    <w:semiHidden/>
    <w:unhideWhenUsed/>
    <w:rsid w:val="00EB3954"/>
    <w:rPr>
      <w:b/>
      <w:bCs/>
    </w:rPr>
  </w:style>
  <w:style w:type="character" w:customStyle="1" w:styleId="ab">
    <w:name w:val="Тема примітки Знак"/>
    <w:basedOn w:val="a9"/>
    <w:link w:val="aa"/>
    <w:uiPriority w:val="99"/>
    <w:semiHidden/>
    <w:rsid w:val="00EB3954"/>
    <w:rPr>
      <w:b/>
      <w:bCs/>
      <w:sz w:val="20"/>
      <w:szCs w:val="20"/>
    </w:rPr>
  </w:style>
  <w:style w:type="table" w:styleId="ac">
    <w:name w:val="Table Grid"/>
    <w:basedOn w:val="a1"/>
    <w:uiPriority w:val="39"/>
    <w:rsid w:val="007F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13600">
      <w:bodyDiv w:val="1"/>
      <w:marLeft w:val="0"/>
      <w:marRight w:val="0"/>
      <w:marTop w:val="0"/>
      <w:marBottom w:val="0"/>
      <w:divBdr>
        <w:top w:val="none" w:sz="0" w:space="0" w:color="auto"/>
        <w:left w:val="none" w:sz="0" w:space="0" w:color="auto"/>
        <w:bottom w:val="none" w:sz="0" w:space="0" w:color="auto"/>
        <w:right w:val="none" w:sz="0" w:space="0" w:color="auto"/>
      </w:divBdr>
      <w:divsChild>
        <w:div w:id="1066340630">
          <w:marLeft w:val="0"/>
          <w:marRight w:val="0"/>
          <w:marTop w:val="0"/>
          <w:marBottom w:val="150"/>
          <w:divBdr>
            <w:top w:val="none" w:sz="0" w:space="0" w:color="auto"/>
            <w:left w:val="none" w:sz="0" w:space="0" w:color="auto"/>
            <w:bottom w:val="none" w:sz="0" w:space="0" w:color="auto"/>
            <w:right w:val="none" w:sz="0" w:space="0" w:color="auto"/>
          </w:divBdr>
        </w:div>
        <w:div w:id="95252526">
          <w:marLeft w:val="0"/>
          <w:marRight w:val="0"/>
          <w:marTop w:val="150"/>
          <w:marBottom w:val="150"/>
          <w:divBdr>
            <w:top w:val="none" w:sz="0" w:space="0" w:color="auto"/>
            <w:left w:val="none" w:sz="0" w:space="0" w:color="auto"/>
            <w:bottom w:val="none" w:sz="0" w:space="0" w:color="auto"/>
            <w:right w:val="none" w:sz="0" w:space="0" w:color="auto"/>
          </w:divBdr>
        </w:div>
      </w:divsChild>
    </w:div>
    <w:div w:id="1251112718">
      <w:bodyDiv w:val="1"/>
      <w:marLeft w:val="0"/>
      <w:marRight w:val="0"/>
      <w:marTop w:val="0"/>
      <w:marBottom w:val="0"/>
      <w:divBdr>
        <w:top w:val="none" w:sz="0" w:space="0" w:color="auto"/>
        <w:left w:val="none" w:sz="0" w:space="0" w:color="auto"/>
        <w:bottom w:val="none" w:sz="0" w:space="0" w:color="auto"/>
        <w:right w:val="none" w:sz="0" w:space="0" w:color="auto"/>
      </w:divBdr>
    </w:div>
    <w:div w:id="1532650734">
      <w:bodyDiv w:val="1"/>
      <w:marLeft w:val="0"/>
      <w:marRight w:val="0"/>
      <w:marTop w:val="0"/>
      <w:marBottom w:val="0"/>
      <w:divBdr>
        <w:top w:val="none" w:sz="0" w:space="0" w:color="auto"/>
        <w:left w:val="none" w:sz="0" w:space="0" w:color="auto"/>
        <w:bottom w:val="none" w:sz="0" w:space="0" w:color="auto"/>
        <w:right w:val="none" w:sz="0" w:space="0" w:color="auto"/>
      </w:divBdr>
      <w:divsChild>
        <w:div w:id="1727990423">
          <w:marLeft w:val="0"/>
          <w:marRight w:val="0"/>
          <w:marTop w:val="150"/>
          <w:marBottom w:val="150"/>
          <w:divBdr>
            <w:top w:val="none" w:sz="0" w:space="0" w:color="auto"/>
            <w:left w:val="none" w:sz="0" w:space="0" w:color="auto"/>
            <w:bottom w:val="none" w:sz="0" w:space="0" w:color="auto"/>
            <w:right w:val="none" w:sz="0" w:space="0" w:color="auto"/>
          </w:divBdr>
        </w:div>
      </w:divsChild>
    </w:div>
    <w:div w:id="1807819238">
      <w:bodyDiv w:val="1"/>
      <w:marLeft w:val="0"/>
      <w:marRight w:val="0"/>
      <w:marTop w:val="0"/>
      <w:marBottom w:val="0"/>
      <w:divBdr>
        <w:top w:val="none" w:sz="0" w:space="0" w:color="auto"/>
        <w:left w:val="none" w:sz="0" w:space="0" w:color="auto"/>
        <w:bottom w:val="none" w:sz="0" w:space="0" w:color="auto"/>
        <w:right w:val="none" w:sz="0" w:space="0" w:color="auto"/>
      </w:divBdr>
      <w:divsChild>
        <w:div w:id="721683422">
          <w:marLeft w:val="0"/>
          <w:marRight w:val="0"/>
          <w:marTop w:val="150"/>
          <w:marBottom w:val="150"/>
          <w:divBdr>
            <w:top w:val="none" w:sz="0" w:space="0" w:color="auto"/>
            <w:left w:val="none" w:sz="0" w:space="0" w:color="auto"/>
            <w:bottom w:val="none" w:sz="0" w:space="0" w:color="auto"/>
            <w:right w:val="none" w:sz="0" w:space="0" w:color="auto"/>
          </w:divBdr>
        </w:div>
      </w:divsChild>
    </w:div>
    <w:div w:id="1904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15B0-35EB-47A1-B094-7D748728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1877</Words>
  <Characters>1070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Ступчук Ольга Михайлівна</cp:lastModifiedBy>
  <cp:revision>10</cp:revision>
  <dcterms:created xsi:type="dcterms:W3CDTF">2025-04-07T22:00:00Z</dcterms:created>
  <dcterms:modified xsi:type="dcterms:W3CDTF">2025-06-27T08:28:00Z</dcterms:modified>
</cp:coreProperties>
</file>