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A0FD" w14:textId="2C975D45" w:rsidR="0037584D" w:rsidRDefault="0037584D" w:rsidP="0037584D">
      <w:pPr>
        <w:pStyle w:val="a3"/>
        <w:shd w:val="clear" w:color="auto" w:fill="FFFFFF"/>
        <w:jc w:val="center"/>
        <w:rPr>
          <w:rFonts w:ascii="ProbaPro-Regular" w:hAnsi="ProbaPro-Regular"/>
          <w:color w:val="1D1D1B"/>
        </w:rPr>
      </w:pPr>
      <w:r>
        <w:rPr>
          <w:rStyle w:val="a4"/>
          <w:rFonts w:ascii="ProbaPro-SemiBold" w:hAnsi="ProbaPro-SemiBold"/>
          <w:color w:val="1D1D1B"/>
        </w:rPr>
        <w:t>Аналітична</w:t>
      </w:r>
      <w:r>
        <w:rPr>
          <w:rFonts w:ascii="ProbaPro-Regular" w:hAnsi="ProbaPro-Regular"/>
          <w:color w:val="1D1D1B"/>
        </w:rPr>
        <w:t> </w:t>
      </w:r>
      <w:r>
        <w:rPr>
          <w:rStyle w:val="a4"/>
          <w:rFonts w:ascii="ProbaPro-SemiBold" w:hAnsi="ProbaPro-SemiBold"/>
          <w:color w:val="1D1D1B"/>
        </w:rPr>
        <w:t>довідка про роботу із</w:t>
      </w:r>
      <w:r>
        <w:rPr>
          <w:rFonts w:ascii="ProbaPro-Regular" w:hAnsi="ProbaPro-Regular"/>
          <w:color w:val="1D1D1B"/>
        </w:rPr>
        <w:t> </w:t>
      </w:r>
      <w:r>
        <w:rPr>
          <w:rStyle w:val="a4"/>
          <w:rFonts w:ascii="ProbaPro-SemiBold" w:hAnsi="ProbaPro-SemiBold"/>
          <w:color w:val="1D1D1B"/>
        </w:rPr>
        <w:t>зверненнями</w:t>
      </w:r>
      <w:r>
        <w:rPr>
          <w:rFonts w:ascii="ProbaPro-Regular" w:hAnsi="ProbaPro-Regular"/>
          <w:color w:val="1D1D1B"/>
        </w:rPr>
        <w:t> </w:t>
      </w:r>
      <w:r>
        <w:rPr>
          <w:rStyle w:val="a4"/>
          <w:rFonts w:ascii="ProbaPro-SemiBold" w:hAnsi="ProbaPro-SemiBold"/>
          <w:color w:val="1D1D1B"/>
        </w:rPr>
        <w:t>громадян, що</w:t>
      </w:r>
      <w:r>
        <w:rPr>
          <w:rFonts w:ascii="ProbaPro-Regular" w:hAnsi="ProbaPro-Regular"/>
          <w:color w:val="1D1D1B"/>
        </w:rPr>
        <w:t> </w:t>
      </w:r>
      <w:r>
        <w:rPr>
          <w:rStyle w:val="a4"/>
          <w:rFonts w:ascii="ProbaPro-SemiBold" w:hAnsi="ProbaPro-SemiBold"/>
          <w:color w:val="1D1D1B"/>
        </w:rPr>
        <w:t>надійшли до Державної</w:t>
      </w:r>
      <w:r>
        <w:rPr>
          <w:rFonts w:ascii="ProbaPro-Regular" w:hAnsi="ProbaPro-Regular"/>
          <w:color w:val="1D1D1B"/>
        </w:rPr>
        <w:t> </w:t>
      </w:r>
      <w:r>
        <w:rPr>
          <w:rStyle w:val="a4"/>
          <w:rFonts w:ascii="ProbaPro-SemiBold" w:hAnsi="ProbaPro-SemiBold"/>
          <w:color w:val="1D1D1B"/>
        </w:rPr>
        <w:t>служби з лікарських засобів та контролю за наркотиками у Дніпропетровській</w:t>
      </w:r>
      <w:r>
        <w:rPr>
          <w:rFonts w:ascii="ProbaPro-Regular" w:hAnsi="ProbaPro-Regular"/>
          <w:color w:val="1D1D1B"/>
        </w:rPr>
        <w:t> </w:t>
      </w:r>
      <w:r>
        <w:rPr>
          <w:rStyle w:val="a4"/>
          <w:rFonts w:ascii="ProbaPro-SemiBold" w:hAnsi="ProbaPro-SemiBold"/>
          <w:color w:val="1D1D1B"/>
        </w:rPr>
        <w:t>області за 202</w:t>
      </w:r>
      <w:r w:rsidR="00216C63">
        <w:rPr>
          <w:rStyle w:val="a4"/>
          <w:rFonts w:ascii="ProbaPro-SemiBold" w:hAnsi="ProbaPro-SemiBold"/>
          <w:color w:val="1D1D1B"/>
        </w:rPr>
        <w:t>5</w:t>
      </w:r>
      <w:r>
        <w:rPr>
          <w:rStyle w:val="a4"/>
          <w:rFonts w:ascii="ProbaPro-SemiBold" w:hAnsi="ProbaPro-SemiBold"/>
          <w:color w:val="1D1D1B"/>
        </w:rPr>
        <w:t> рік</w:t>
      </w:r>
    </w:p>
    <w:p w14:paraId="4AEFB6A4" w14:textId="779781C1" w:rsidR="0037584D" w:rsidRPr="00240F95" w:rsidRDefault="0037584D" w:rsidP="0037584D">
      <w:pPr>
        <w:pStyle w:val="a3"/>
        <w:shd w:val="clear" w:color="auto" w:fill="FFFFFF"/>
        <w:ind w:firstLine="708"/>
        <w:jc w:val="both"/>
        <w:rPr>
          <w:rFonts w:ascii="ProbaPro-Regular" w:hAnsi="ProbaPro-Regular"/>
          <w:strike/>
          <w:color w:val="1D1D1B"/>
        </w:rPr>
      </w:pPr>
      <w:r>
        <w:rPr>
          <w:rFonts w:ascii="ProbaPro-Regular" w:hAnsi="ProbaPro-Regular"/>
          <w:color w:val="1D1D1B"/>
        </w:rPr>
        <w:t>На виконання Закону України «Про звернення громадян», Указу Президента України від 07.02.2008 №109/2008 «Про першочергові заходи щодо забезпечення реалізації та ґрунтування конституційного права на звернення до органів державної влади та органів місцевого самоврядування» у Державній службі з лікарських засобів у Дніпропетровській області (далі –Службі) було проаналізовано роботу зі зверненнями громадян за період з 01.01.202</w:t>
      </w:r>
      <w:r w:rsidR="00216C63">
        <w:rPr>
          <w:rFonts w:ascii="ProbaPro-Regular" w:hAnsi="ProbaPro-Regular"/>
          <w:color w:val="1D1D1B"/>
        </w:rPr>
        <w:t>5</w:t>
      </w:r>
      <w:r>
        <w:rPr>
          <w:rFonts w:ascii="ProbaPro-Regular" w:hAnsi="ProbaPro-Regular"/>
          <w:color w:val="1D1D1B"/>
        </w:rPr>
        <w:t xml:space="preserve"> по 31.12.202</w:t>
      </w:r>
      <w:r w:rsidR="00216C63">
        <w:rPr>
          <w:rFonts w:ascii="ProbaPro-Regular" w:hAnsi="ProbaPro-Regular"/>
          <w:color w:val="1D1D1B"/>
        </w:rPr>
        <w:t>5</w:t>
      </w:r>
      <w:r>
        <w:rPr>
          <w:rFonts w:ascii="ProbaPro-Regular" w:hAnsi="ProbaPro-Regular"/>
          <w:color w:val="1D1D1B"/>
        </w:rPr>
        <w:t>р. Протягом 202</w:t>
      </w:r>
      <w:r w:rsidR="00216C63">
        <w:rPr>
          <w:rFonts w:ascii="ProbaPro-Regular" w:hAnsi="ProbaPro-Regular"/>
          <w:color w:val="1D1D1B"/>
        </w:rPr>
        <w:t>5</w:t>
      </w:r>
      <w:r>
        <w:rPr>
          <w:rFonts w:ascii="ProbaPro-Regular" w:hAnsi="ProbaPro-Regular"/>
          <w:color w:val="1D1D1B"/>
        </w:rPr>
        <w:t xml:space="preserve"> року до Державної </w:t>
      </w:r>
      <w:r w:rsidRPr="00CB32A7">
        <w:rPr>
          <w:rFonts w:ascii="ProbaPro-Regular" w:hAnsi="ProbaPro-Regular"/>
          <w:color w:val="1D1D1B"/>
        </w:rPr>
        <w:t xml:space="preserve">служби з лікарських засобів та контролю за наркотиками у Дніпропетровській області надійшло та було опрацьовано  </w:t>
      </w:r>
      <w:r w:rsidR="00CB32A7" w:rsidRPr="00CB32A7">
        <w:rPr>
          <w:rFonts w:ascii="ProbaPro-Regular" w:hAnsi="ProbaPro-Regular"/>
          <w:color w:val="1D1D1B"/>
        </w:rPr>
        <w:t>20</w:t>
      </w:r>
      <w:r w:rsidRPr="00CB32A7">
        <w:rPr>
          <w:rFonts w:ascii="ProbaPro-Regular" w:hAnsi="ProbaPro-Regular"/>
          <w:color w:val="1D1D1B"/>
        </w:rPr>
        <w:t xml:space="preserve"> звернень,  </w:t>
      </w:r>
      <w:r w:rsidRPr="0059404A">
        <w:rPr>
          <w:rFonts w:ascii="ProbaPro-Regular" w:hAnsi="ProbaPro-Regular"/>
          <w:color w:val="1D1D1B"/>
        </w:rPr>
        <w:t xml:space="preserve">а саме </w:t>
      </w:r>
      <w:r w:rsidR="0059404A" w:rsidRPr="0059404A">
        <w:rPr>
          <w:rFonts w:ascii="ProbaPro-Regular" w:hAnsi="ProbaPro-Regular"/>
          <w:color w:val="1D1D1B"/>
        </w:rPr>
        <w:t>6</w:t>
      </w:r>
      <w:r w:rsidRPr="0059404A">
        <w:rPr>
          <w:rFonts w:ascii="ProbaPro-Regular" w:hAnsi="ProbaPro-Regular"/>
          <w:color w:val="1D1D1B"/>
        </w:rPr>
        <w:t xml:space="preserve"> з</w:t>
      </w:r>
      <w:r w:rsidR="0059404A" w:rsidRPr="0059404A">
        <w:rPr>
          <w:rFonts w:ascii="ProbaPro-Regular" w:hAnsi="ProbaPro-Regular"/>
          <w:color w:val="1D1D1B"/>
        </w:rPr>
        <w:t>аяв</w:t>
      </w:r>
      <w:r w:rsidRPr="0059404A">
        <w:rPr>
          <w:rFonts w:ascii="ProbaPro-Regular" w:hAnsi="ProbaPro-Regular"/>
          <w:color w:val="1D1D1B"/>
        </w:rPr>
        <w:t xml:space="preserve"> та </w:t>
      </w:r>
      <w:r w:rsidR="0059404A" w:rsidRPr="0059404A">
        <w:rPr>
          <w:rFonts w:ascii="ProbaPro-Regular" w:hAnsi="ProbaPro-Regular"/>
          <w:color w:val="1D1D1B"/>
        </w:rPr>
        <w:t xml:space="preserve">14 </w:t>
      </w:r>
      <w:r w:rsidRPr="0059404A">
        <w:rPr>
          <w:rFonts w:ascii="ProbaPro-Regular" w:hAnsi="ProbaPro-Regular"/>
          <w:color w:val="1D1D1B"/>
        </w:rPr>
        <w:t>скарга  від громадян Дніпропет</w:t>
      </w:r>
      <w:r w:rsidR="00E92F02" w:rsidRPr="0059404A">
        <w:rPr>
          <w:rFonts w:ascii="ProbaPro-Regular" w:hAnsi="ProbaPro-Regular"/>
          <w:color w:val="1D1D1B"/>
        </w:rPr>
        <w:t>ровської області.</w:t>
      </w:r>
    </w:p>
    <w:p w14:paraId="693E9C46" w14:textId="77777777" w:rsidR="0037584D" w:rsidRDefault="0037584D" w:rsidP="0037584D">
      <w:pPr>
        <w:pStyle w:val="a3"/>
        <w:shd w:val="clear" w:color="auto" w:fill="FFFFFF"/>
        <w:jc w:val="both"/>
        <w:rPr>
          <w:rFonts w:ascii="ProbaPro-Regular" w:hAnsi="ProbaPro-Regular"/>
          <w:color w:val="1D1D1B"/>
        </w:rPr>
      </w:pPr>
      <w:r>
        <w:rPr>
          <w:rFonts w:ascii="ProbaPro-Regular" w:hAnsi="ProbaPro-Regular"/>
          <w:color w:val="1D1D1B"/>
        </w:rPr>
        <w:t>          Звернення, скарги та заяви, що надійшли до Державної служби з лікарських засобів та контролю за наркотиками у Дніпропетровській області, були уважно розглянуті, проаналізовані факти, викладені у зверненнях  та за результатами надано обґрунтовані відповіді та роз’яснення в межах компетенції  та в строки, визначені законодавством України.</w:t>
      </w:r>
    </w:p>
    <w:p w14:paraId="21FE1C72" w14:textId="77777777" w:rsidR="0037584D" w:rsidRDefault="0037584D" w:rsidP="0037584D">
      <w:pPr>
        <w:pStyle w:val="a3"/>
        <w:shd w:val="clear" w:color="auto" w:fill="FFFFFF"/>
        <w:jc w:val="both"/>
        <w:rPr>
          <w:rFonts w:ascii="ProbaPro-Regular" w:hAnsi="ProbaPro-Regular"/>
          <w:color w:val="1D1D1B"/>
        </w:rPr>
      </w:pPr>
      <w:r>
        <w:rPr>
          <w:rFonts w:ascii="ProbaPro-Regular" w:hAnsi="ProbaPro-Regular"/>
          <w:color w:val="1D1D1B"/>
        </w:rPr>
        <w:t>          Статистичний аналіз змісту звернень дає можливість визначити проблемні питання, які порушують громадяни у своїх зверненнях.</w:t>
      </w:r>
    </w:p>
    <w:p w14:paraId="2C961449" w14:textId="77777777" w:rsidR="0037584D" w:rsidRDefault="0037584D" w:rsidP="0037584D">
      <w:pPr>
        <w:pStyle w:val="a3"/>
        <w:shd w:val="clear" w:color="auto" w:fill="FFFFFF"/>
        <w:rPr>
          <w:rFonts w:ascii="ProbaPro-Regular" w:hAnsi="ProbaPro-Regular"/>
          <w:color w:val="1D1D1B"/>
        </w:rPr>
      </w:pPr>
      <w:r>
        <w:rPr>
          <w:rFonts w:ascii="ProbaPro-Regular" w:hAnsi="ProbaPro-Regular"/>
          <w:color w:val="1D1D1B"/>
        </w:rPr>
        <w:t>          Насамперед це:</w:t>
      </w:r>
    </w:p>
    <w:p w14:paraId="4E08A439" w14:textId="77777777" w:rsidR="002E5AE4" w:rsidRDefault="002E5AE4" w:rsidP="002E5AE4">
      <w:pPr>
        <w:pStyle w:val="a3"/>
        <w:numPr>
          <w:ilvl w:val="0"/>
          <w:numId w:val="4"/>
        </w:numPr>
        <w:shd w:val="clear" w:color="auto" w:fill="FFFFFF"/>
        <w:rPr>
          <w:rFonts w:ascii="ProbaPro-Regular" w:hAnsi="ProbaPro-Regular"/>
          <w:color w:val="1D1D1B"/>
        </w:rPr>
      </w:pPr>
      <w:r>
        <w:rPr>
          <w:rFonts w:ascii="ProbaPro-Regular" w:hAnsi="ProbaPro-Regular"/>
          <w:color w:val="1D1D1B"/>
        </w:rPr>
        <w:t>щодо роботи аптечних закладів – 7;</w:t>
      </w:r>
    </w:p>
    <w:p w14:paraId="14950A51" w14:textId="7904B6A3" w:rsidR="0037584D" w:rsidRDefault="0037584D" w:rsidP="002120CA">
      <w:pPr>
        <w:pStyle w:val="a3"/>
        <w:numPr>
          <w:ilvl w:val="0"/>
          <w:numId w:val="4"/>
        </w:numPr>
        <w:shd w:val="clear" w:color="auto" w:fill="FFFFFF"/>
        <w:rPr>
          <w:rFonts w:ascii="ProbaPro-Regular" w:hAnsi="ProbaPro-Regular"/>
          <w:color w:val="1D1D1B"/>
        </w:rPr>
      </w:pPr>
      <w:r>
        <w:rPr>
          <w:rFonts w:ascii="ProbaPro-Regular" w:hAnsi="ProbaPro-Regular"/>
          <w:color w:val="1D1D1B"/>
        </w:rPr>
        <w:t xml:space="preserve">щодо якості лікарських засобів </w:t>
      </w:r>
      <w:r w:rsidR="002134FA">
        <w:rPr>
          <w:rFonts w:ascii="ProbaPro-Regular" w:hAnsi="ProbaPro-Regular"/>
          <w:color w:val="1D1D1B"/>
        </w:rPr>
        <w:t xml:space="preserve">– </w:t>
      </w:r>
      <w:r w:rsidR="00720B20">
        <w:rPr>
          <w:rFonts w:ascii="ProbaPro-Regular" w:hAnsi="ProbaPro-Regular"/>
          <w:color w:val="1D1D1B"/>
        </w:rPr>
        <w:t>3</w:t>
      </w:r>
      <w:r>
        <w:rPr>
          <w:rFonts w:ascii="ProbaPro-Regular" w:hAnsi="ProbaPro-Regular"/>
          <w:color w:val="1D1D1B"/>
        </w:rPr>
        <w:t>;</w:t>
      </w:r>
    </w:p>
    <w:p w14:paraId="4A406903" w14:textId="4AD58783" w:rsidR="0037584D" w:rsidRDefault="0037584D" w:rsidP="002120CA">
      <w:pPr>
        <w:pStyle w:val="a3"/>
        <w:numPr>
          <w:ilvl w:val="0"/>
          <w:numId w:val="4"/>
        </w:numPr>
        <w:shd w:val="clear" w:color="auto" w:fill="FFFFFF"/>
        <w:rPr>
          <w:rFonts w:ascii="ProbaPro-Regular" w:hAnsi="ProbaPro-Regular"/>
          <w:color w:val="1D1D1B"/>
        </w:rPr>
      </w:pPr>
      <w:r>
        <w:rPr>
          <w:rFonts w:ascii="ProbaPro-Regular" w:hAnsi="ProbaPro-Regular"/>
          <w:color w:val="1D1D1B"/>
        </w:rPr>
        <w:t xml:space="preserve">щодо обігу лікарських засобів </w:t>
      </w:r>
      <w:r w:rsidR="00966DF3">
        <w:rPr>
          <w:rFonts w:ascii="ProbaPro-Regular" w:hAnsi="ProbaPro-Regular"/>
          <w:color w:val="1D1D1B"/>
        </w:rPr>
        <w:t>та медичн</w:t>
      </w:r>
      <w:r w:rsidR="00CA7C50">
        <w:rPr>
          <w:rFonts w:ascii="ProbaPro-Regular" w:hAnsi="ProbaPro-Regular"/>
          <w:color w:val="1D1D1B"/>
        </w:rPr>
        <w:t xml:space="preserve">их </w:t>
      </w:r>
      <w:r w:rsidR="00966DF3">
        <w:rPr>
          <w:rFonts w:ascii="ProbaPro-Regular" w:hAnsi="ProbaPro-Regular"/>
          <w:color w:val="1D1D1B"/>
        </w:rPr>
        <w:t>вироб</w:t>
      </w:r>
      <w:r w:rsidR="00CA7C50">
        <w:rPr>
          <w:rFonts w:ascii="ProbaPro-Regular" w:hAnsi="ProbaPro-Regular"/>
          <w:color w:val="1D1D1B"/>
        </w:rPr>
        <w:t xml:space="preserve">ів </w:t>
      </w:r>
      <w:r w:rsidR="002134FA">
        <w:rPr>
          <w:rFonts w:ascii="ProbaPro-Regular" w:hAnsi="ProbaPro-Regular"/>
          <w:color w:val="1D1D1B"/>
        </w:rPr>
        <w:t xml:space="preserve">– </w:t>
      </w:r>
      <w:r w:rsidR="00CA7C50">
        <w:rPr>
          <w:rFonts w:ascii="ProbaPro-Regular" w:hAnsi="ProbaPro-Regular"/>
          <w:color w:val="1D1D1B"/>
        </w:rPr>
        <w:t>3 та 1</w:t>
      </w:r>
      <w:r w:rsidR="002120CA">
        <w:rPr>
          <w:rFonts w:ascii="ProbaPro-Regular" w:hAnsi="ProbaPro-Regular"/>
          <w:color w:val="1D1D1B"/>
        </w:rPr>
        <w:t>;</w:t>
      </w:r>
    </w:p>
    <w:p w14:paraId="27014B37" w14:textId="06DB56BD" w:rsidR="002120CA" w:rsidRDefault="002120CA" w:rsidP="002120CA">
      <w:pPr>
        <w:pStyle w:val="a3"/>
        <w:numPr>
          <w:ilvl w:val="0"/>
          <w:numId w:val="4"/>
        </w:numPr>
        <w:shd w:val="clear" w:color="auto" w:fill="FFFFFF"/>
        <w:rPr>
          <w:rFonts w:ascii="ProbaPro-Regular" w:hAnsi="ProbaPro-Regular"/>
          <w:color w:val="1D1D1B"/>
        </w:rPr>
      </w:pPr>
      <w:r>
        <w:rPr>
          <w:rFonts w:ascii="ProbaPro-Regular" w:hAnsi="ProbaPro-Regular"/>
          <w:color w:val="1D1D1B"/>
        </w:rPr>
        <w:t xml:space="preserve">щодо </w:t>
      </w:r>
      <w:r w:rsidRPr="002120CA">
        <w:rPr>
          <w:rFonts w:ascii="ProbaPro-Regular" w:hAnsi="ProbaPro-Regular"/>
          <w:color w:val="1D1D1B"/>
        </w:rPr>
        <w:t>обігу наркотичних засобів, психотропних речовин і</w:t>
      </w:r>
      <w:r>
        <w:rPr>
          <w:rFonts w:ascii="ProbaPro-Regular" w:hAnsi="ProbaPro-Regular"/>
          <w:color w:val="1D1D1B"/>
        </w:rPr>
        <w:t xml:space="preserve"> прекурсорів </w:t>
      </w:r>
      <w:r w:rsidR="00930E4B">
        <w:rPr>
          <w:rFonts w:ascii="ProbaPro-Regular" w:hAnsi="ProbaPro-Regular"/>
          <w:color w:val="1D1D1B"/>
        </w:rPr>
        <w:t>– 2;</w:t>
      </w:r>
    </w:p>
    <w:p w14:paraId="279B54B2" w14:textId="62B345C9" w:rsidR="00930E4B" w:rsidRDefault="00930E4B" w:rsidP="002120CA">
      <w:pPr>
        <w:pStyle w:val="a3"/>
        <w:numPr>
          <w:ilvl w:val="0"/>
          <w:numId w:val="4"/>
        </w:numPr>
        <w:shd w:val="clear" w:color="auto" w:fill="FFFFFF"/>
        <w:rPr>
          <w:rFonts w:ascii="ProbaPro-Regular" w:hAnsi="ProbaPro-Regular"/>
          <w:color w:val="1D1D1B"/>
        </w:rPr>
      </w:pPr>
      <w:r>
        <w:rPr>
          <w:rFonts w:ascii="ProbaPro-Regular" w:hAnsi="ProbaPro-Regular"/>
          <w:color w:val="1D1D1B"/>
        </w:rPr>
        <w:t>інше</w:t>
      </w:r>
      <w:r w:rsidR="00BA4D8A">
        <w:rPr>
          <w:rFonts w:ascii="ProbaPro-Regular" w:hAnsi="ProbaPro-Regular"/>
          <w:color w:val="1D1D1B"/>
        </w:rPr>
        <w:t>(не входять до компетенції Державної служби) -</w:t>
      </w:r>
      <w:r w:rsidR="00966DF3">
        <w:rPr>
          <w:rFonts w:ascii="ProbaPro-Regular" w:hAnsi="ProbaPro-Regular"/>
          <w:color w:val="1D1D1B"/>
        </w:rPr>
        <w:t>4</w:t>
      </w:r>
      <w:r w:rsidR="00BA4D8A">
        <w:rPr>
          <w:rFonts w:ascii="ProbaPro-Regular" w:hAnsi="ProbaPro-Regular"/>
          <w:color w:val="1D1D1B"/>
        </w:rPr>
        <w:t>.</w:t>
      </w:r>
    </w:p>
    <w:p w14:paraId="24097873" w14:textId="7BCB3DCF" w:rsidR="0037584D" w:rsidRDefault="0037584D" w:rsidP="0037584D">
      <w:pPr>
        <w:pStyle w:val="a3"/>
        <w:shd w:val="clear" w:color="auto" w:fill="FFFFFF"/>
        <w:jc w:val="both"/>
        <w:rPr>
          <w:rFonts w:ascii="ProbaPro-Regular" w:hAnsi="ProbaPro-Regular"/>
          <w:color w:val="1D1D1B"/>
        </w:rPr>
      </w:pPr>
      <w:r>
        <w:rPr>
          <w:rStyle w:val="a4"/>
          <w:rFonts w:ascii="ProbaPro-SemiBold" w:hAnsi="ProbaPro-SemiBold"/>
          <w:color w:val="1D1D1B"/>
        </w:rPr>
        <w:t>          </w:t>
      </w:r>
      <w:r w:rsidRPr="00E012F8">
        <w:rPr>
          <w:rFonts w:ascii="ProbaPro-Regular" w:hAnsi="ProbaPro-Regular"/>
          <w:color w:val="1D1D1B"/>
        </w:rPr>
        <w:t>Кількість звернень, які надходили від громадян протягом 202</w:t>
      </w:r>
      <w:r w:rsidR="00240F95" w:rsidRPr="00E012F8">
        <w:rPr>
          <w:rFonts w:ascii="ProbaPro-Regular" w:hAnsi="ProbaPro-Regular"/>
          <w:color w:val="1D1D1B"/>
        </w:rPr>
        <w:t>5</w:t>
      </w:r>
      <w:r w:rsidRPr="00E012F8">
        <w:rPr>
          <w:rFonts w:ascii="ProbaPro-Regular" w:hAnsi="ProbaPro-Regular"/>
          <w:color w:val="1D1D1B"/>
        </w:rPr>
        <w:t xml:space="preserve"> року суттєво з</w:t>
      </w:r>
      <w:r w:rsidR="00240F95" w:rsidRPr="00E012F8">
        <w:rPr>
          <w:rFonts w:ascii="ProbaPro-Regular" w:hAnsi="ProbaPro-Regular"/>
          <w:color w:val="1D1D1B"/>
        </w:rPr>
        <w:t>біль</w:t>
      </w:r>
      <w:r w:rsidRPr="00E012F8">
        <w:rPr>
          <w:rFonts w:ascii="ProbaPro-Regular" w:hAnsi="ProbaPro-Regular"/>
          <w:color w:val="1D1D1B"/>
        </w:rPr>
        <w:t>шилась по відношенню до звітного періоду 202</w:t>
      </w:r>
      <w:r w:rsidR="00240F95" w:rsidRPr="00E012F8">
        <w:rPr>
          <w:rFonts w:ascii="ProbaPro-Regular" w:hAnsi="ProbaPro-Regular"/>
          <w:color w:val="1D1D1B"/>
        </w:rPr>
        <w:t>4</w:t>
      </w:r>
      <w:r w:rsidRPr="00E012F8">
        <w:rPr>
          <w:rFonts w:ascii="ProbaPro-Regular" w:hAnsi="ProbaPro-Regular"/>
          <w:color w:val="1D1D1B"/>
        </w:rPr>
        <w:t xml:space="preserve"> року ( </w:t>
      </w:r>
      <w:r w:rsidR="00240F95" w:rsidRPr="00E012F8">
        <w:rPr>
          <w:rFonts w:ascii="ProbaPro-Regular" w:hAnsi="ProbaPro-Regular"/>
          <w:color w:val="1D1D1B"/>
        </w:rPr>
        <w:t>2</w:t>
      </w:r>
      <w:r w:rsidRPr="00E012F8">
        <w:rPr>
          <w:rFonts w:ascii="ProbaPro-Regular" w:hAnsi="ProbaPro-Regular"/>
          <w:color w:val="1D1D1B"/>
        </w:rPr>
        <w:t xml:space="preserve">0 замість </w:t>
      </w:r>
      <w:r w:rsidR="00240F95" w:rsidRPr="00E012F8">
        <w:rPr>
          <w:rFonts w:ascii="ProbaPro-Regular" w:hAnsi="ProbaPro-Regular"/>
          <w:color w:val="1D1D1B"/>
        </w:rPr>
        <w:t>10</w:t>
      </w:r>
      <w:r w:rsidRPr="00E012F8">
        <w:rPr>
          <w:rFonts w:ascii="ProbaPro-Regular" w:hAnsi="ProbaPro-Regular"/>
          <w:color w:val="1D1D1B"/>
        </w:rPr>
        <w:t>).</w:t>
      </w:r>
    </w:p>
    <w:p w14:paraId="1A5E9DE2" w14:textId="1A542FCD" w:rsidR="0037584D" w:rsidRDefault="0037584D" w:rsidP="00A738C8">
      <w:pPr>
        <w:pStyle w:val="a3"/>
        <w:shd w:val="clear" w:color="auto" w:fill="FFFFFF"/>
        <w:ind w:firstLine="709"/>
        <w:jc w:val="both"/>
        <w:rPr>
          <w:rFonts w:ascii="ProbaPro-Regular" w:hAnsi="ProbaPro-Regular"/>
          <w:color w:val="1D1D1B"/>
        </w:rPr>
      </w:pPr>
      <w:r>
        <w:rPr>
          <w:rFonts w:ascii="ProbaPro-Regular" w:hAnsi="ProbaPro-Regular"/>
          <w:color w:val="1D1D1B"/>
        </w:rPr>
        <w:t>Зважаючи на період воєнного стану, громадян Дніпропетровської області в першу чергу цікавить медикаментозне забезпечення по різним Програмам соціальної підтримки пацієнтів та якість лікарських засобів.  Змінюються форми звернень громадян, а саме: громадяни звертаються в телефонному режимі, використовуючи різні телефонні «Гарячі лінії».</w:t>
      </w:r>
    </w:p>
    <w:p w14:paraId="3ADBB33B" w14:textId="3E9D3C1A" w:rsidR="0037584D" w:rsidRDefault="0037584D" w:rsidP="0037584D">
      <w:pPr>
        <w:pStyle w:val="a3"/>
        <w:shd w:val="clear" w:color="auto" w:fill="FFFFFF"/>
        <w:jc w:val="both"/>
        <w:rPr>
          <w:rFonts w:ascii="ProbaPro-Regular" w:hAnsi="ProbaPro-Regular"/>
          <w:color w:val="1D1D1B"/>
        </w:rPr>
      </w:pPr>
      <w:r>
        <w:rPr>
          <w:rFonts w:ascii="ProbaPro-Regular" w:hAnsi="ProbaPro-Regular"/>
          <w:color w:val="1D1D1B"/>
        </w:rPr>
        <w:t>          Звернення, отримані Службою у 202</w:t>
      </w:r>
      <w:r w:rsidR="00216C63">
        <w:rPr>
          <w:rFonts w:ascii="ProbaPro-Regular" w:hAnsi="ProbaPro-Regular"/>
          <w:color w:val="1D1D1B"/>
        </w:rPr>
        <w:t>5</w:t>
      </w:r>
      <w:r>
        <w:rPr>
          <w:rFonts w:ascii="ProbaPro-Regular" w:hAnsi="ProbaPro-Regular"/>
          <w:color w:val="1D1D1B"/>
        </w:rPr>
        <w:t xml:space="preserve"> році, свідчать про те, що  громадяни хочуть мати якісне медикаментозне забезпечення, мати доступну інформацію щодо контролю якості та безпеки лікарських засобів та медичної продукції на ринку України та інших питань, що входять до компетенції Державної служби з лікарських засобів та контролю за наркотиками у Дніпропетровській області. При розгляді звернень проводиться активна співпраця з Державною службою України з лікарських засобів та контролю за наркотиками, правоохоронними органами, органами виконавчої влади та громадськими організаціями.</w:t>
      </w:r>
    </w:p>
    <w:p w14:paraId="1977A6E4" w14:textId="77777777" w:rsidR="0037584D" w:rsidRDefault="0037584D" w:rsidP="0037584D">
      <w:pPr>
        <w:pStyle w:val="a3"/>
        <w:shd w:val="clear" w:color="auto" w:fill="FFFFFF"/>
        <w:jc w:val="both"/>
        <w:rPr>
          <w:rFonts w:ascii="ProbaPro-Regular" w:hAnsi="ProbaPro-Regular"/>
          <w:color w:val="1D1D1B"/>
        </w:rPr>
      </w:pPr>
      <w:r>
        <w:rPr>
          <w:rFonts w:ascii="ProbaPro-Regular" w:hAnsi="ProbaPro-Regular"/>
          <w:color w:val="1D1D1B"/>
        </w:rPr>
        <w:t xml:space="preserve">          Також зазначаємо, що до Державної служби з лікарських засобів та контролю за наркотиками у Дніпропетровської області надходять звернення, які не мають достатньої інформації для здійснення контрольних заходів в рамках повноважень Служби.  Таким заявникам надаються роз’яснення та листи з проханням доповнити </w:t>
      </w:r>
      <w:r>
        <w:rPr>
          <w:rFonts w:ascii="ProbaPro-Regular" w:hAnsi="ProbaPro-Regular"/>
          <w:color w:val="1D1D1B"/>
        </w:rPr>
        <w:lastRenderedPageBreak/>
        <w:t>інформацію  згідно вимог законодавства за фактами, викладеними у зверненні з метою вжиття заходів. Зі змісту деяких звернень та скарг встановлено, що питання, зазначені у зверненнях,  не входять до компетенції Державної служби з лікарських засобів та контролю за наркотиками у Дніпропетровській області. Таким чином, розглянути звернення по суті та вжити заходи неможливо, одночасно надаються роз’яснення та звернення перенаправляються за належністю до уповноважених установ та організацій.</w:t>
      </w:r>
    </w:p>
    <w:p w14:paraId="1E4A451C" w14:textId="77777777" w:rsidR="0037584D" w:rsidRDefault="0037584D" w:rsidP="0037584D">
      <w:pPr>
        <w:pStyle w:val="a3"/>
        <w:shd w:val="clear" w:color="auto" w:fill="FFFFFF"/>
        <w:jc w:val="both"/>
        <w:rPr>
          <w:rFonts w:ascii="ProbaPro-Regular" w:hAnsi="ProbaPro-Regular"/>
          <w:color w:val="1D1D1B"/>
        </w:rPr>
      </w:pPr>
      <w:r>
        <w:rPr>
          <w:rFonts w:ascii="ProbaPro-Regular" w:hAnsi="ProbaPro-Regular"/>
          <w:color w:val="1D1D1B"/>
        </w:rPr>
        <w:t>          Робота з розгляду звернень громадян дає можливість реалізації заходів для поновлення прав і свобод громадян, порушених унаслідок недодержання вимог законодавства, забезпечує проведення роз’яснювальної роботи з питань реалізації громадянами права на звернення та особистий прийом. Тому робота зі зверненнями громадян у Державній службі з лікарських засобів та контролю за наркотиками у Дніпропетровській області буде й надалі одним з пріоритетних напрямків у діяльності Служби.</w:t>
      </w:r>
    </w:p>
    <w:p w14:paraId="0C6F4A6D" w14:textId="77777777" w:rsidR="002A0552" w:rsidRDefault="002A0552"/>
    <w:sectPr w:rsidR="002A05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baPro-Regular">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baPro-SemiBold">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1833"/>
    <w:multiLevelType w:val="hybridMultilevel"/>
    <w:tmpl w:val="06F2B622"/>
    <w:lvl w:ilvl="0" w:tplc="20662CB2">
      <w:numFmt w:val="bullet"/>
      <w:lvlText w:val="–"/>
      <w:lvlJc w:val="left"/>
      <w:pPr>
        <w:ind w:left="720" w:hanging="360"/>
      </w:pPr>
      <w:rPr>
        <w:rFonts w:ascii="ProbaPro-Regular" w:eastAsia="Times New Roman" w:hAnsi="ProbaPro-Regular"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76F30C0"/>
    <w:multiLevelType w:val="hybridMultilevel"/>
    <w:tmpl w:val="2F30CE7C"/>
    <w:lvl w:ilvl="0" w:tplc="DEACF22C">
      <w:numFmt w:val="bullet"/>
      <w:lvlText w:val="-"/>
      <w:lvlJc w:val="left"/>
      <w:pPr>
        <w:ind w:left="720" w:hanging="360"/>
      </w:pPr>
      <w:rPr>
        <w:rFonts w:ascii="ProbaPro-Regular" w:eastAsia="Times New Roman" w:hAnsi="ProbaPro-Regular"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06C266F"/>
    <w:multiLevelType w:val="hybridMultilevel"/>
    <w:tmpl w:val="9FF02C7C"/>
    <w:lvl w:ilvl="0" w:tplc="1B90D0D2">
      <w:numFmt w:val="bullet"/>
      <w:lvlText w:val="-"/>
      <w:lvlJc w:val="left"/>
      <w:pPr>
        <w:ind w:left="720" w:hanging="360"/>
      </w:pPr>
      <w:rPr>
        <w:rFonts w:ascii="ProbaPro-Regular" w:eastAsia="Times New Roman" w:hAnsi="ProbaPro-Regular"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8202E3E"/>
    <w:multiLevelType w:val="hybridMultilevel"/>
    <w:tmpl w:val="8B2EE8A8"/>
    <w:lvl w:ilvl="0" w:tplc="1B90D0D2">
      <w:numFmt w:val="bullet"/>
      <w:lvlText w:val="-"/>
      <w:lvlJc w:val="left"/>
      <w:pPr>
        <w:ind w:left="720" w:hanging="360"/>
      </w:pPr>
      <w:rPr>
        <w:rFonts w:ascii="ProbaPro-Regular" w:eastAsia="Times New Roman" w:hAnsi="ProbaPro-Regular"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84D"/>
    <w:rsid w:val="002120CA"/>
    <w:rsid w:val="002134FA"/>
    <w:rsid w:val="00216C63"/>
    <w:rsid w:val="00240F95"/>
    <w:rsid w:val="002A0552"/>
    <w:rsid w:val="002E5AE4"/>
    <w:rsid w:val="0037584D"/>
    <w:rsid w:val="00431523"/>
    <w:rsid w:val="0059404A"/>
    <w:rsid w:val="00720B20"/>
    <w:rsid w:val="00847D50"/>
    <w:rsid w:val="00930E4B"/>
    <w:rsid w:val="00966DF3"/>
    <w:rsid w:val="00A2360B"/>
    <w:rsid w:val="00A738C8"/>
    <w:rsid w:val="00BA4D8A"/>
    <w:rsid w:val="00C102F7"/>
    <w:rsid w:val="00CA7C50"/>
    <w:rsid w:val="00CB32A7"/>
    <w:rsid w:val="00CB7E36"/>
    <w:rsid w:val="00E012F8"/>
    <w:rsid w:val="00E92F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4CEF"/>
  <w15:chartTrackingRefBased/>
  <w15:docId w15:val="{9C8B694A-F4C2-4B67-AAC5-F08B0E46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8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75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4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2545</Words>
  <Characters>1452</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2025-12-09T17:27:00Z</dcterms:created>
  <dcterms:modified xsi:type="dcterms:W3CDTF">2026-01-01T10:29:00Z</dcterms:modified>
</cp:coreProperties>
</file>