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0C" w:rsidRPr="00CF408D" w:rsidRDefault="00AF390C" w:rsidP="00AF3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8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proofErr w:type="gramStart"/>
      <w:r w:rsidRPr="00CF408D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CF408D">
        <w:rPr>
          <w:rFonts w:ascii="Times New Roman" w:hAnsi="Times New Roman" w:cs="Times New Roman"/>
          <w:sz w:val="24"/>
          <w:szCs w:val="24"/>
        </w:rPr>
        <w:t xml:space="preserve">  роботу 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зверненнями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лікарських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та контролю за наркоти</w:t>
      </w:r>
      <w:r w:rsidRPr="00CF408D">
        <w:rPr>
          <w:rFonts w:ascii="Times New Roman" w:hAnsi="Times New Roman" w:cs="Times New Roman"/>
          <w:sz w:val="24"/>
          <w:szCs w:val="24"/>
        </w:rPr>
        <w:t xml:space="preserve">ками у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Житомирській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за 9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2025</w:t>
      </w:r>
      <w:r w:rsidRPr="00CF408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AF390C" w:rsidRPr="00CF408D" w:rsidRDefault="00AF390C" w:rsidP="00AF3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408D">
        <w:rPr>
          <w:rFonts w:ascii="Times New Roman" w:hAnsi="Times New Roman" w:cs="Times New Roman"/>
          <w:sz w:val="24"/>
          <w:szCs w:val="24"/>
          <w:lang w:val="uk-UA"/>
        </w:rPr>
        <w:t xml:space="preserve">           На  виконання  вимог Закону  України  «Про  звернення  громадян», Указу  Президента  України  від  07.02.2008 р. № 109/2008 «Про  першочергові заходи  щодо забезпечення  реалізації  та  гарантування  конституційного  права  на звернення до органів державної влади та органів місцевого самоврядування»  та  наказу  </w:t>
      </w:r>
      <w:proofErr w:type="spellStart"/>
      <w:r w:rsidRPr="00CF408D">
        <w:rPr>
          <w:rFonts w:ascii="Times New Roman" w:hAnsi="Times New Roman" w:cs="Times New Roman"/>
          <w:sz w:val="24"/>
          <w:szCs w:val="24"/>
          <w:lang w:val="uk-UA"/>
        </w:rPr>
        <w:t>Держлікслужби</w:t>
      </w:r>
      <w:proofErr w:type="spellEnd"/>
      <w:r w:rsidRPr="00CF408D">
        <w:rPr>
          <w:rFonts w:ascii="Times New Roman" w:hAnsi="Times New Roman" w:cs="Times New Roman"/>
          <w:sz w:val="24"/>
          <w:szCs w:val="24"/>
          <w:lang w:val="uk-UA"/>
        </w:rPr>
        <w:t xml:space="preserve">  від  29.12.2016 року № 10-Адм «Щодо звітності про стан роботи зі зверненнями громадян» було проаналізовано роботу зі зверненнями  громадян, що надійшли до Державної служби з лікарських засобів та контролю за наркотиками у Житомирській області.   </w:t>
      </w:r>
    </w:p>
    <w:p w:rsidR="00AF390C" w:rsidRPr="00CF408D" w:rsidRDefault="00AF390C" w:rsidP="00AF3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8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CF408D">
        <w:rPr>
          <w:rFonts w:ascii="Times New Roman" w:hAnsi="Times New Roman" w:cs="Times New Roman"/>
          <w:sz w:val="24"/>
          <w:szCs w:val="24"/>
        </w:rPr>
        <w:t xml:space="preserve">За 3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квартали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202</w:t>
      </w:r>
      <w:r w:rsidRPr="00CF408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F408D">
        <w:rPr>
          <w:rFonts w:ascii="Times New Roman" w:hAnsi="Times New Roman" w:cs="Times New Roman"/>
          <w:sz w:val="24"/>
          <w:szCs w:val="24"/>
        </w:rPr>
        <w:t xml:space="preserve"> року до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надійшло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опрацьовано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08D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CF40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SemiBold" w:hAnsi="ProbaPro-SemiBold"/>
          <w:color w:val="1D1D1B"/>
        </w:rPr>
        <w:t xml:space="preserve">І. Характеристика </w:t>
      </w:r>
      <w:proofErr w:type="spellStart"/>
      <w:r>
        <w:rPr>
          <w:rStyle w:val="a5"/>
          <w:rFonts w:ascii="ProbaPro-SemiBold" w:hAnsi="ProbaPro-SemiBold"/>
          <w:color w:val="1D1D1B"/>
        </w:rPr>
        <w:t>звернень</w:t>
      </w:r>
      <w:bookmarkStart w:id="0" w:name="_GoBack"/>
      <w:bookmarkEnd w:id="0"/>
      <w:proofErr w:type="spellEnd"/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6"/>
          <w:rFonts w:ascii="ProbaPro-Regular" w:hAnsi="ProbaPro-Regular"/>
          <w:color w:val="1D1D1B"/>
        </w:rPr>
        <w:t xml:space="preserve">За формою </w:t>
      </w:r>
      <w:proofErr w:type="spellStart"/>
      <w:r>
        <w:rPr>
          <w:rStyle w:val="a6"/>
          <w:rFonts w:ascii="ProbaPro-Regular" w:hAnsi="ProbaPro-Regular"/>
          <w:color w:val="1D1D1B"/>
        </w:rPr>
        <w:t>надходжень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звернень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</w:t>
      </w:r>
      <w:r w:rsidR="00CF408D">
        <w:rPr>
          <w:rFonts w:ascii="ProbaPro-Regular" w:hAnsi="ProbaPro-Regular"/>
          <w:color w:val="1D1D1B"/>
        </w:rPr>
        <w:t xml:space="preserve">          через </w:t>
      </w:r>
      <w:proofErr w:type="spellStart"/>
      <w:r w:rsidR="00CF408D">
        <w:rPr>
          <w:rFonts w:ascii="ProbaPro-Regular" w:hAnsi="ProbaPro-Regular"/>
          <w:color w:val="1D1D1B"/>
        </w:rPr>
        <w:t>органи</w:t>
      </w:r>
      <w:proofErr w:type="spellEnd"/>
      <w:r w:rsidR="00CF408D">
        <w:rPr>
          <w:rFonts w:ascii="ProbaPro-Regular" w:hAnsi="ProbaPro-Regular"/>
          <w:color w:val="1D1D1B"/>
        </w:rPr>
        <w:t xml:space="preserve"> </w:t>
      </w:r>
      <w:proofErr w:type="spellStart"/>
      <w:r w:rsidR="00CF408D">
        <w:rPr>
          <w:rFonts w:ascii="ProbaPro-Regular" w:hAnsi="ProbaPro-Regular"/>
          <w:color w:val="1D1D1B"/>
        </w:rPr>
        <w:t>влади</w:t>
      </w:r>
      <w:proofErr w:type="spellEnd"/>
      <w:r w:rsidR="00CF408D"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 </w:t>
      </w:r>
      <w:proofErr w:type="spellStart"/>
      <w:r>
        <w:rPr>
          <w:rFonts w:ascii="ProbaPro-Regular" w:hAnsi="ProbaPro-Regular"/>
          <w:color w:val="1D1D1B"/>
        </w:rPr>
        <w:t>від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інших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органів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установ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організацій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6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6"/>
          <w:rFonts w:ascii="ProbaPro-Regular" w:hAnsi="ProbaPro-Regular"/>
          <w:color w:val="1D1D1B"/>
        </w:rPr>
        <w:t>ознакою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надходження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первинне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вторинне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6"/>
          <w:rFonts w:ascii="ProbaPro-Regular" w:hAnsi="ProbaPro-Regular"/>
          <w:color w:val="1D1D1B"/>
        </w:rPr>
        <w:t>За видами: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скарга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6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6"/>
          <w:rFonts w:ascii="ProbaPro-Regular" w:hAnsi="ProbaPro-Regular"/>
          <w:color w:val="1D1D1B"/>
        </w:rPr>
        <w:t>статевим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розподілом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авторів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звернень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чоловіча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           </w:t>
      </w:r>
      <w:proofErr w:type="spellStart"/>
      <w:r>
        <w:rPr>
          <w:rFonts w:ascii="ProbaPro-Regular" w:hAnsi="ProbaPro-Regular"/>
          <w:color w:val="1D1D1B"/>
        </w:rPr>
        <w:t>жіноча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           </w:t>
      </w:r>
      <w:r>
        <w:rPr>
          <w:rStyle w:val="a6"/>
          <w:rFonts w:ascii="ProbaPro-Regular" w:hAnsi="ProbaPro-Regular"/>
          <w:color w:val="1D1D1B"/>
        </w:rPr>
        <w:t xml:space="preserve">За </w:t>
      </w:r>
      <w:proofErr w:type="spellStart"/>
      <w:r>
        <w:rPr>
          <w:rStyle w:val="a6"/>
          <w:rFonts w:ascii="ProbaPro-Regular" w:hAnsi="ProbaPro-Regular"/>
          <w:color w:val="1D1D1B"/>
        </w:rPr>
        <w:t>суб’єктом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індивідуальні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6"/>
          <w:rFonts w:ascii="ProbaPro-Regular" w:hAnsi="ProbaPro-Regular"/>
          <w:color w:val="1D1D1B"/>
        </w:rPr>
        <w:t>           За типом: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 </w:t>
      </w:r>
      <w:proofErr w:type="spellStart"/>
      <w:r>
        <w:rPr>
          <w:rFonts w:ascii="ProbaPro-Regular" w:hAnsi="ProbaPro-Regular"/>
          <w:color w:val="1D1D1B"/>
        </w:rPr>
        <w:t>електронне</w:t>
      </w:r>
      <w:proofErr w:type="spellEnd"/>
      <w:r>
        <w:rPr>
          <w:rFonts w:ascii="ProbaPro-Regular" w:hAnsi="ProbaPro-Regular"/>
          <w:color w:val="1D1D1B"/>
        </w:rPr>
        <w:t xml:space="preserve"> – </w:t>
      </w:r>
      <w:r w:rsidR="00CF408D">
        <w:rPr>
          <w:rFonts w:ascii="ProbaPro-Regular" w:hAnsi="ProbaPro-Regular"/>
          <w:color w:val="1D1D1B"/>
        </w:rPr>
        <w:t>2</w:t>
      </w:r>
      <w:r w:rsidR="00CF408D">
        <w:rPr>
          <w:rFonts w:ascii="ProbaPro-Regular" w:hAnsi="ProbaPro-Regular"/>
          <w:color w:val="1D1D1B"/>
        </w:rPr>
        <w:br/>
        <w:t>            лист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6"/>
          <w:rFonts w:ascii="ProbaPro-Regular" w:hAnsi="ProbaPro-Regular"/>
          <w:color w:val="1D1D1B"/>
        </w:rPr>
        <w:lastRenderedPageBreak/>
        <w:t xml:space="preserve">           За </w:t>
      </w:r>
      <w:proofErr w:type="spellStart"/>
      <w:r>
        <w:rPr>
          <w:rStyle w:val="a6"/>
          <w:rFonts w:ascii="ProbaPro-Regular" w:hAnsi="ProbaPro-Regular"/>
          <w:color w:val="1D1D1B"/>
        </w:rPr>
        <w:t>категоріями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авторів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звернення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о</w:t>
      </w:r>
      <w:r w:rsidR="00CF408D">
        <w:rPr>
          <w:rFonts w:ascii="ProbaPro-Regular" w:hAnsi="ProbaPro-Regular"/>
          <w:color w:val="1D1D1B"/>
        </w:rPr>
        <w:t xml:space="preserve">соби з </w:t>
      </w:r>
      <w:proofErr w:type="spellStart"/>
      <w:r w:rsidR="00CF408D">
        <w:rPr>
          <w:rFonts w:ascii="ProbaPro-Regular" w:hAnsi="ProbaPro-Regular"/>
          <w:color w:val="1D1D1B"/>
        </w:rPr>
        <w:t>інвалідністю</w:t>
      </w:r>
      <w:proofErr w:type="spellEnd"/>
      <w:r w:rsidR="00CF408D">
        <w:rPr>
          <w:rFonts w:ascii="ProbaPro-Regular" w:hAnsi="ProbaPro-Regular"/>
          <w:color w:val="1D1D1B"/>
        </w:rPr>
        <w:t xml:space="preserve">   – 0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інші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категорії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6"/>
          <w:rFonts w:ascii="ProbaPro-Regular" w:hAnsi="ProbaPro-Regular"/>
          <w:color w:val="1D1D1B"/>
        </w:rPr>
        <w:t xml:space="preserve">           За </w:t>
      </w:r>
      <w:proofErr w:type="spellStart"/>
      <w:r>
        <w:rPr>
          <w:rStyle w:val="a6"/>
          <w:rFonts w:ascii="ProbaPro-Regular" w:hAnsi="ProbaPro-Regular"/>
          <w:color w:val="1D1D1B"/>
        </w:rPr>
        <w:t>соціальним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станом </w:t>
      </w:r>
      <w:proofErr w:type="spellStart"/>
      <w:r>
        <w:rPr>
          <w:rStyle w:val="a6"/>
          <w:rFonts w:ascii="ProbaPro-Regular" w:hAnsi="ProbaPro-Regular"/>
          <w:color w:val="1D1D1B"/>
        </w:rPr>
        <w:t>авторів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звернення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пенсіонер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інші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6"/>
          <w:rFonts w:ascii="ProbaPro-Regular" w:hAnsi="ProbaPro-Regular"/>
          <w:color w:val="1D1D1B"/>
        </w:rPr>
        <w:t xml:space="preserve">           За результатами </w:t>
      </w:r>
      <w:proofErr w:type="spellStart"/>
      <w:r>
        <w:rPr>
          <w:rStyle w:val="a6"/>
          <w:rFonts w:ascii="ProbaPro-Regular" w:hAnsi="ProbaPro-Regular"/>
          <w:color w:val="1D1D1B"/>
        </w:rPr>
        <w:t>розгляду</w:t>
      </w:r>
      <w:proofErr w:type="spellEnd"/>
      <w:r>
        <w:rPr>
          <w:rStyle w:val="a6"/>
          <w:rFonts w:ascii="ProbaPro-Regular" w:hAnsi="ProbaPro-Regular"/>
          <w:color w:val="1D1D1B"/>
        </w:rPr>
        <w:t>:</w:t>
      </w:r>
    </w:p>
    <w:p w:rsidR="00AF390C" w:rsidRDefault="00CF408D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дано </w:t>
      </w:r>
      <w:proofErr w:type="spellStart"/>
      <w:r>
        <w:rPr>
          <w:rFonts w:ascii="ProbaPro-Regular" w:hAnsi="ProbaPro-Regular"/>
          <w:color w:val="1D1D1B"/>
        </w:rPr>
        <w:t>роз’яснення</w:t>
      </w:r>
      <w:proofErr w:type="spellEnd"/>
      <w:r>
        <w:rPr>
          <w:rFonts w:ascii="ProbaPro-Regular" w:hAnsi="ProbaPro-Regular"/>
          <w:color w:val="1D1D1B"/>
        </w:rPr>
        <w:t xml:space="preserve"> – 2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          </w:t>
      </w:r>
      <w:proofErr w:type="spellStart"/>
      <w:r>
        <w:rPr>
          <w:rFonts w:ascii="ProbaPro-Regular" w:hAnsi="ProbaPro-Regular"/>
          <w:color w:val="1D1D1B"/>
        </w:rPr>
        <w:t>відмовлено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задоволенні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           переслано за </w:t>
      </w:r>
      <w:proofErr w:type="spellStart"/>
      <w:r>
        <w:rPr>
          <w:rFonts w:ascii="ProbaPro-Regular" w:hAnsi="ProbaPro-Regular"/>
          <w:color w:val="1D1D1B"/>
        </w:rPr>
        <w:t>належністю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статті</w:t>
      </w:r>
      <w:proofErr w:type="spellEnd"/>
      <w:r>
        <w:rPr>
          <w:rFonts w:ascii="ProbaPro-Regular" w:hAnsi="ProbaPro-Regular"/>
          <w:color w:val="1D1D1B"/>
        </w:rPr>
        <w:t xml:space="preserve"> 7 Закону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>»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5"/>
          <w:rFonts w:ascii="ProbaPro-SemiBold" w:hAnsi="ProbaPro-SemiBold"/>
          <w:color w:val="1D1D1B"/>
        </w:rPr>
        <w:t xml:space="preserve">ІІ. </w:t>
      </w:r>
      <w:proofErr w:type="spellStart"/>
      <w:r>
        <w:rPr>
          <w:rStyle w:val="a5"/>
          <w:rFonts w:ascii="ProbaPro-SemiBold" w:hAnsi="ProbaPro-SemiBold"/>
          <w:color w:val="1D1D1B"/>
        </w:rPr>
        <w:t>Основні</w:t>
      </w:r>
      <w:proofErr w:type="spellEnd"/>
      <w:r>
        <w:rPr>
          <w:rStyle w:val="a5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5"/>
          <w:rFonts w:ascii="ProbaPro-SemiBold" w:hAnsi="ProbaPro-SemiBold"/>
          <w:color w:val="1D1D1B"/>
        </w:rPr>
        <w:t>питання</w:t>
      </w:r>
      <w:proofErr w:type="spellEnd"/>
      <w:r>
        <w:rPr>
          <w:rStyle w:val="a5"/>
          <w:rFonts w:ascii="ProbaPro-SemiBold" w:hAnsi="ProbaPro-SemiBold"/>
          <w:color w:val="1D1D1B"/>
        </w:rPr>
        <w:t xml:space="preserve">, </w:t>
      </w:r>
      <w:proofErr w:type="spellStart"/>
      <w:r>
        <w:rPr>
          <w:rStyle w:val="a5"/>
          <w:rFonts w:ascii="ProbaPro-SemiBold" w:hAnsi="ProbaPro-SemiBold"/>
          <w:color w:val="1D1D1B"/>
        </w:rPr>
        <w:t>що</w:t>
      </w:r>
      <w:proofErr w:type="spellEnd"/>
      <w:r>
        <w:rPr>
          <w:rStyle w:val="a5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5"/>
          <w:rFonts w:ascii="ProbaPro-SemiBold" w:hAnsi="ProbaPro-SemiBold"/>
          <w:color w:val="1D1D1B"/>
        </w:rPr>
        <w:t>порушуються</w:t>
      </w:r>
      <w:proofErr w:type="spellEnd"/>
      <w:r>
        <w:rPr>
          <w:rStyle w:val="a5"/>
          <w:rFonts w:ascii="ProbaPro-SemiBold" w:hAnsi="ProbaPro-SemiBold"/>
          <w:color w:val="1D1D1B"/>
        </w:rPr>
        <w:t xml:space="preserve"> у </w:t>
      </w:r>
      <w:proofErr w:type="spellStart"/>
      <w:r>
        <w:rPr>
          <w:rStyle w:val="a5"/>
          <w:rFonts w:ascii="ProbaPro-SemiBold" w:hAnsi="ProbaPro-SemiBold"/>
          <w:color w:val="1D1D1B"/>
        </w:rPr>
        <w:t>зверненнях</w:t>
      </w:r>
      <w:proofErr w:type="spellEnd"/>
      <w:r>
        <w:rPr>
          <w:rStyle w:val="a5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5"/>
          <w:rFonts w:ascii="ProbaPro-SemiBold" w:hAnsi="ProbaPro-SemiBold"/>
          <w:color w:val="1D1D1B"/>
        </w:rPr>
        <w:t>громадян</w:t>
      </w:r>
      <w:proofErr w:type="spellEnd"/>
      <w:r>
        <w:rPr>
          <w:rStyle w:val="a5"/>
          <w:rFonts w:ascii="ProbaPro-SemiBold" w:hAnsi="ProbaPro-SemiBold"/>
          <w:color w:val="1D1D1B"/>
        </w:rPr>
        <w:t>: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</w:t>
      </w:r>
      <w:r w:rsidR="00CF408D">
        <w:rPr>
          <w:rFonts w:ascii="ProbaPro-Regular" w:hAnsi="ProbaPro-Regular"/>
          <w:color w:val="1D1D1B"/>
        </w:rPr>
        <w:t>ня</w:t>
      </w:r>
      <w:proofErr w:type="spellEnd"/>
      <w:r w:rsidR="00CF408D">
        <w:rPr>
          <w:rFonts w:ascii="ProbaPro-Regular" w:hAnsi="ProbaPro-Regular"/>
          <w:color w:val="1D1D1B"/>
        </w:rPr>
        <w:t xml:space="preserve"> </w:t>
      </w:r>
      <w:proofErr w:type="spellStart"/>
      <w:r w:rsidR="00CF408D">
        <w:rPr>
          <w:rFonts w:ascii="ProbaPro-Regular" w:hAnsi="ProbaPro-Regular"/>
          <w:color w:val="1D1D1B"/>
        </w:rPr>
        <w:t>якості</w:t>
      </w:r>
      <w:proofErr w:type="spellEnd"/>
      <w:r w:rsidR="00CF408D">
        <w:rPr>
          <w:rFonts w:ascii="ProbaPro-Regular" w:hAnsi="ProbaPro-Regular"/>
          <w:color w:val="1D1D1B"/>
        </w:rPr>
        <w:t xml:space="preserve"> </w:t>
      </w:r>
      <w:proofErr w:type="spellStart"/>
      <w:r w:rsidR="00CF408D">
        <w:rPr>
          <w:rFonts w:ascii="ProbaPro-Regular" w:hAnsi="ProbaPro-Regular"/>
          <w:color w:val="1D1D1B"/>
        </w:rPr>
        <w:t>лікарських</w:t>
      </w:r>
      <w:proofErr w:type="spellEnd"/>
      <w:r w:rsidR="00CF408D">
        <w:rPr>
          <w:rFonts w:ascii="ProbaPro-Regular" w:hAnsi="ProbaPro-Regular"/>
          <w:color w:val="1D1D1B"/>
        </w:rPr>
        <w:t xml:space="preserve"> </w:t>
      </w:r>
      <w:proofErr w:type="spellStart"/>
      <w:r w:rsidR="00CF408D">
        <w:rPr>
          <w:rFonts w:ascii="ProbaPro-Regular" w:hAnsi="ProbaPro-Regular"/>
          <w:color w:val="1D1D1B"/>
        </w:rPr>
        <w:t>засобів</w:t>
      </w:r>
      <w:proofErr w:type="spellEnd"/>
      <w:r w:rsidR="00CF408D">
        <w:rPr>
          <w:rFonts w:ascii="ProbaPro-Regular" w:hAnsi="ProbaPro-Regular"/>
          <w:color w:val="1D1D1B"/>
        </w:rPr>
        <w:t xml:space="preserve"> – 1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обігу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</w:t>
      </w:r>
      <w:r w:rsidR="00CF408D">
        <w:rPr>
          <w:rFonts w:ascii="ProbaPro-Regular" w:hAnsi="ProbaPro-Regular"/>
          <w:color w:val="1D1D1B"/>
        </w:rPr>
        <w:t>бів</w:t>
      </w:r>
      <w:proofErr w:type="spellEnd"/>
      <w:r w:rsidR="00CF408D">
        <w:rPr>
          <w:rFonts w:ascii="ProbaPro-Regular" w:hAnsi="ProbaPro-Regular"/>
          <w:color w:val="1D1D1B"/>
        </w:rPr>
        <w:t xml:space="preserve"> – 1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роботи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аптечних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закладів</w:t>
      </w:r>
      <w:proofErr w:type="spellEnd"/>
      <w:r>
        <w:rPr>
          <w:rFonts w:ascii="ProbaPro-Regular" w:hAnsi="ProbaPro-Regular"/>
          <w:color w:val="1D1D1B"/>
        </w:rPr>
        <w:t xml:space="preserve"> – 0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надійшли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конт</w:t>
      </w:r>
      <w:r w:rsidR="00CF408D">
        <w:rPr>
          <w:rFonts w:ascii="ProbaPro-Regular" w:hAnsi="ProbaPro-Regular"/>
          <w:color w:val="1D1D1B"/>
        </w:rPr>
        <w:t xml:space="preserve">ролю за наркотиками у </w:t>
      </w:r>
      <w:proofErr w:type="spellStart"/>
      <w:r w:rsidR="00CF408D">
        <w:rPr>
          <w:rFonts w:ascii="ProbaPro-Regular" w:hAnsi="ProbaPro-Regular"/>
          <w:color w:val="1D1D1B"/>
        </w:rPr>
        <w:t>Житомирській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розглянути</w:t>
      </w:r>
      <w:proofErr w:type="spellEnd"/>
      <w:r>
        <w:rPr>
          <w:rFonts w:ascii="ProbaPro-Regular" w:hAnsi="ProbaPro-Regular"/>
          <w:color w:val="1D1D1B"/>
        </w:rPr>
        <w:t xml:space="preserve"> у строки, </w:t>
      </w:r>
      <w:proofErr w:type="spellStart"/>
      <w:r>
        <w:rPr>
          <w:rFonts w:ascii="ProbaPro-Regular" w:hAnsi="ProbaPro-Regular"/>
          <w:color w:val="1D1D1B"/>
        </w:rPr>
        <w:t>визначені</w:t>
      </w:r>
      <w:proofErr w:type="spellEnd"/>
      <w:r>
        <w:rPr>
          <w:rFonts w:ascii="ProbaPro-Regular" w:hAnsi="ProbaPro-Regular"/>
          <w:color w:val="1D1D1B"/>
        </w:rPr>
        <w:t xml:space="preserve"> Законом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>».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Особистий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прийом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керівництвом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проводиться </w:t>
      </w:r>
      <w:proofErr w:type="spellStart"/>
      <w:r>
        <w:rPr>
          <w:rFonts w:ascii="ProbaPro-Regular" w:hAnsi="ProbaPro-Regular"/>
          <w:color w:val="1D1D1B"/>
        </w:rPr>
        <w:t>згідно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затвердженим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графіком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Інформація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розміщена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приміщенні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конт</w:t>
      </w:r>
      <w:r w:rsidR="00CF408D">
        <w:rPr>
          <w:rFonts w:ascii="ProbaPro-Regular" w:hAnsi="ProbaPro-Regular"/>
          <w:color w:val="1D1D1B"/>
        </w:rPr>
        <w:t xml:space="preserve">ролю за наркотиками у </w:t>
      </w:r>
      <w:proofErr w:type="spellStart"/>
      <w:r w:rsidR="00CF408D">
        <w:rPr>
          <w:rFonts w:ascii="ProbaPro-Regular" w:hAnsi="ProbaPro-Regular"/>
          <w:color w:val="1D1D1B"/>
        </w:rPr>
        <w:t>Житомирській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AF390C" w:rsidRDefault="00AF390C" w:rsidP="00AF390C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Таким чином, одним з </w:t>
      </w:r>
      <w:proofErr w:type="spellStart"/>
      <w:r>
        <w:rPr>
          <w:rFonts w:ascii="ProbaPro-Regular" w:hAnsi="ProbaPro-Regular"/>
          <w:color w:val="1D1D1B"/>
        </w:rPr>
        <w:t>основних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завдань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служби</w:t>
      </w:r>
      <w:proofErr w:type="spellEnd"/>
      <w:r>
        <w:rPr>
          <w:rFonts w:ascii="ProbaPro-Regular" w:hAnsi="ProbaPro-Regular"/>
          <w:color w:val="1D1D1B"/>
        </w:rPr>
        <w:t xml:space="preserve">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кон</w:t>
      </w:r>
      <w:r w:rsidR="00CF408D">
        <w:rPr>
          <w:rFonts w:ascii="ProbaPro-Regular" w:hAnsi="ProbaPro-Regular"/>
          <w:color w:val="1D1D1B"/>
        </w:rPr>
        <w:t xml:space="preserve">тролю за наркотиками у </w:t>
      </w:r>
      <w:proofErr w:type="spellStart"/>
      <w:r w:rsidR="00CF408D">
        <w:rPr>
          <w:rFonts w:ascii="ProbaPro-Regular" w:hAnsi="ProbaPro-Regular"/>
          <w:color w:val="1D1D1B"/>
        </w:rPr>
        <w:t>Житомиорські</w:t>
      </w:r>
      <w:r>
        <w:rPr>
          <w:rFonts w:ascii="ProbaPro-Regular" w:hAnsi="ProbaPro-Regular"/>
          <w:color w:val="1D1D1B"/>
        </w:rPr>
        <w:t>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залишається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своєчасне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реагування</w:t>
      </w:r>
      <w:proofErr w:type="spellEnd"/>
      <w:r>
        <w:rPr>
          <w:rFonts w:ascii="ProbaPro-Regular" w:hAnsi="ProbaPro-Regular"/>
          <w:color w:val="1D1D1B"/>
        </w:rPr>
        <w:t xml:space="preserve"> на </w:t>
      </w:r>
      <w:proofErr w:type="spellStart"/>
      <w:r>
        <w:rPr>
          <w:rFonts w:ascii="ProbaPro-Regular" w:hAnsi="ProbaPro-Regular"/>
          <w:color w:val="1D1D1B"/>
        </w:rPr>
        <w:t>проблемні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порушені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зверненнях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виявлення</w:t>
      </w:r>
      <w:proofErr w:type="spellEnd"/>
      <w:r>
        <w:rPr>
          <w:rFonts w:ascii="ProbaPro-Regular" w:hAnsi="ProbaPro-Regular"/>
          <w:color w:val="1D1D1B"/>
        </w:rPr>
        <w:t xml:space="preserve"> причин,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породжують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їх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надходження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усунення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наявних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порушень</w:t>
      </w:r>
      <w:proofErr w:type="spellEnd"/>
      <w:r>
        <w:rPr>
          <w:rFonts w:ascii="ProbaPro-Regular" w:hAnsi="ProbaPro-Regular"/>
          <w:color w:val="1D1D1B"/>
        </w:rPr>
        <w:t xml:space="preserve"> і </w:t>
      </w:r>
      <w:proofErr w:type="spellStart"/>
      <w:r>
        <w:rPr>
          <w:rFonts w:ascii="ProbaPro-Regular" w:hAnsi="ProbaPro-Regular"/>
          <w:color w:val="1D1D1B"/>
        </w:rPr>
        <w:t>недоліків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заявлених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питань</w:t>
      </w:r>
      <w:proofErr w:type="spellEnd"/>
      <w:r>
        <w:rPr>
          <w:rFonts w:ascii="ProbaPro-Regular" w:hAnsi="ProbaPro-Regular"/>
          <w:color w:val="1D1D1B"/>
        </w:rPr>
        <w:t xml:space="preserve">, а </w:t>
      </w:r>
      <w:proofErr w:type="spellStart"/>
      <w:r>
        <w:rPr>
          <w:rFonts w:ascii="ProbaPro-Regular" w:hAnsi="ProbaPro-Regular"/>
          <w:color w:val="1D1D1B"/>
        </w:rPr>
        <w:t>також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реалізацію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конституційних</w:t>
      </w:r>
      <w:proofErr w:type="spellEnd"/>
      <w:r>
        <w:rPr>
          <w:rFonts w:ascii="ProbaPro-Regular" w:hAnsi="ProbaPro-Regular"/>
          <w:color w:val="1D1D1B"/>
        </w:rPr>
        <w:t xml:space="preserve"> прав, свобод </w:t>
      </w:r>
      <w:proofErr w:type="spellStart"/>
      <w:r>
        <w:rPr>
          <w:rFonts w:ascii="ProbaPro-Regular" w:hAnsi="ProbaPro-Regular"/>
          <w:color w:val="1D1D1B"/>
        </w:rPr>
        <w:t>людини</w:t>
      </w:r>
      <w:proofErr w:type="spellEnd"/>
      <w:r>
        <w:rPr>
          <w:rFonts w:ascii="ProbaPro-Regular" w:hAnsi="ProbaPro-Regular"/>
          <w:color w:val="1D1D1B"/>
        </w:rPr>
        <w:t xml:space="preserve"> й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є </w:t>
      </w:r>
      <w:proofErr w:type="spellStart"/>
      <w:r>
        <w:rPr>
          <w:rFonts w:ascii="ProbaPro-Regular" w:hAnsi="ProbaPro-Regular"/>
          <w:color w:val="1D1D1B"/>
        </w:rPr>
        <w:t>головними</w:t>
      </w:r>
      <w:proofErr w:type="spellEnd"/>
      <w:r>
        <w:rPr>
          <w:rFonts w:ascii="ProbaPro-Regular" w:hAnsi="ProbaPro-Regular"/>
          <w:color w:val="1D1D1B"/>
        </w:rPr>
        <w:t xml:space="preserve"> основами </w:t>
      </w:r>
      <w:proofErr w:type="spellStart"/>
      <w:r>
        <w:rPr>
          <w:rFonts w:ascii="ProbaPro-Regular" w:hAnsi="ProbaPro-Regular"/>
          <w:color w:val="1D1D1B"/>
        </w:rPr>
        <w:t>демократичної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соціально-правової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держави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AF390C" w:rsidRPr="00AF390C" w:rsidRDefault="00AF390C" w:rsidP="00AF39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390C" w:rsidRPr="00AF390C" w:rsidRDefault="00AF390C">
      <w:pPr>
        <w:rPr>
          <w:color w:val="FF0000"/>
        </w:rPr>
      </w:pPr>
    </w:p>
    <w:sectPr w:rsidR="00AF390C" w:rsidRPr="00AF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78"/>
    <w:rsid w:val="005C57CD"/>
    <w:rsid w:val="0089096D"/>
    <w:rsid w:val="00960E78"/>
    <w:rsid w:val="00A67739"/>
    <w:rsid w:val="00AF390C"/>
    <w:rsid w:val="00CF408D"/>
    <w:rsid w:val="00E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248E"/>
  <w15:chartTrackingRefBased/>
  <w15:docId w15:val="{762ABE6C-7B5A-4564-8706-F410873D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7C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6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7739"/>
    <w:rPr>
      <w:b/>
      <w:bCs/>
    </w:rPr>
  </w:style>
  <w:style w:type="character" w:styleId="a6">
    <w:name w:val="Emphasis"/>
    <w:basedOn w:val="a0"/>
    <w:uiPriority w:val="20"/>
    <w:qFormat/>
    <w:rsid w:val="00A67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2025-10-01T13:26:00Z</dcterms:created>
  <dcterms:modified xsi:type="dcterms:W3CDTF">2025-10-01T13:55:00Z</dcterms:modified>
</cp:coreProperties>
</file>