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A9A4" w14:textId="77777777" w:rsidR="008E188D" w:rsidRPr="00C02B77" w:rsidRDefault="008E188D" w:rsidP="008E188D">
      <w:pPr>
        <w:ind w:right="282"/>
        <w:jc w:val="center"/>
        <w:rPr>
          <w:rFonts w:cs="Times New Roman"/>
          <w:b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ДОВІДКА</w:t>
      </w:r>
    </w:p>
    <w:p w14:paraId="4731BF9C" w14:textId="77777777" w:rsidR="008E188D" w:rsidRPr="00A548DE" w:rsidRDefault="008E188D" w:rsidP="008E188D">
      <w:pPr>
        <w:tabs>
          <w:tab w:val="left" w:pos="851"/>
        </w:tabs>
        <w:autoSpaceDE w:val="0"/>
        <w:autoSpaceDN w:val="0"/>
        <w:jc w:val="center"/>
        <w:rPr>
          <w:rFonts w:cs="Times New Roman"/>
          <w:b/>
          <w:sz w:val="28"/>
          <w:szCs w:val="28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щодо відповідності зобов’язанням України у сфері європейської інтеграції та праву Європейського Союзу (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acquis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ЄС) </w:t>
      </w:r>
      <w:proofErr w:type="spellStart"/>
      <w:r w:rsidRPr="00C02B77">
        <w:rPr>
          <w:rFonts w:cs="Times New Roman"/>
          <w:b/>
          <w:sz w:val="28"/>
          <w:szCs w:val="28"/>
        </w:rPr>
        <w:t>проєкту</w:t>
      </w:r>
      <w:proofErr w:type="spellEnd"/>
      <w:r w:rsidRPr="00C02B77">
        <w:rPr>
          <w:rFonts w:cs="Times New Roman"/>
          <w:b/>
          <w:sz w:val="28"/>
          <w:szCs w:val="28"/>
        </w:rPr>
        <w:t xml:space="preserve"> постанови Кабінету</w:t>
      </w:r>
      <w:r>
        <w:rPr>
          <w:rFonts w:cs="Times New Roman"/>
          <w:b/>
          <w:sz w:val="28"/>
          <w:szCs w:val="28"/>
        </w:rPr>
        <w:t xml:space="preserve"> </w:t>
      </w:r>
      <w:r w:rsidRPr="00C02B77">
        <w:rPr>
          <w:rFonts w:cs="Times New Roman"/>
          <w:b/>
          <w:sz w:val="28"/>
          <w:szCs w:val="28"/>
        </w:rPr>
        <w:t xml:space="preserve">Міністрів України </w:t>
      </w:r>
      <w:r w:rsidRPr="00A548DE">
        <w:rPr>
          <w:rFonts w:cs="Times New Roman"/>
          <w:b/>
          <w:sz w:val="28"/>
          <w:szCs w:val="28"/>
        </w:rPr>
        <w:t>«Про внесення змін до Ліцензійних умов провадження</w:t>
      </w:r>
      <w:r>
        <w:rPr>
          <w:rFonts w:cs="Times New Roman"/>
          <w:b/>
          <w:sz w:val="28"/>
          <w:szCs w:val="28"/>
        </w:rPr>
        <w:t xml:space="preserve"> </w:t>
      </w:r>
      <w:r w:rsidRPr="00A548DE">
        <w:rPr>
          <w:rFonts w:cs="Times New Roman"/>
          <w:b/>
          <w:sz w:val="28"/>
          <w:szCs w:val="28"/>
        </w:rPr>
        <w:t>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</w:p>
    <w:p w14:paraId="5A90A501" w14:textId="77777777" w:rsidR="008E188D" w:rsidRPr="007C1D2C" w:rsidRDefault="008E188D" w:rsidP="008E188D">
      <w:pPr>
        <w:ind w:firstLine="558"/>
        <w:jc w:val="center"/>
        <w:rPr>
          <w:rFonts w:cs="Times New Roman"/>
          <w:b/>
          <w:sz w:val="28"/>
          <w:szCs w:val="28"/>
        </w:rPr>
      </w:pPr>
    </w:p>
    <w:p w14:paraId="7A16EF53" w14:textId="77777777" w:rsidR="008E188D" w:rsidRDefault="008E188D" w:rsidP="008E188D">
      <w:pPr>
        <w:jc w:val="center"/>
        <w:rPr>
          <w:rFonts w:eastAsia="Times New Roman" w:cs="Times New Roman"/>
          <w:kern w:val="0"/>
          <w:sz w:val="28"/>
          <w:szCs w:val="26"/>
          <w:lang w:eastAsia="uk-UA" w:bidi="ar-SA"/>
        </w:rPr>
      </w:pPr>
      <w:proofErr w:type="spellStart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 xml:space="preserve"> розроблено</w:t>
      </w:r>
      <w:r>
        <w:rPr>
          <w:rFonts w:eastAsia="Calibri" w:cs="Times New Roman"/>
          <w:bCs/>
          <w:sz w:val="28"/>
          <w:szCs w:val="28"/>
          <w:lang w:eastAsia="ar-SA" w:bidi="ar-SA"/>
        </w:rPr>
        <w:t xml:space="preserve"> </w:t>
      </w:r>
      <w:r>
        <w:rPr>
          <w:rFonts w:eastAsia="Times New Roman"/>
          <w:sz w:val="28"/>
          <w:szCs w:val="26"/>
          <w:lang w:eastAsia="uk-UA"/>
        </w:rPr>
        <w:t>Державною службою України з лікарських засобів та контролю за наркотиками</w:t>
      </w:r>
    </w:p>
    <w:p w14:paraId="5CE84CCB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1. Належність 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проєкту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до сфер, правовідносини в яких регулюються правом Європейського Союзу (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acquis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ЄС)</w:t>
      </w:r>
    </w:p>
    <w:p w14:paraId="56D6FB82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за предметом правового регулювання не належить до пріоритетних сфер адаптації законодавства України до законодавства Європейського Союзу, визначених Законом України «Про Загальнодержавну програму адаптації законодавства України до законодавства Європейського Союзу».</w:t>
      </w:r>
    </w:p>
    <w:p w14:paraId="107B9C6C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712C87D0" w14:textId="77777777" w:rsidR="008E188D" w:rsidRPr="00C02B77" w:rsidRDefault="008E188D" w:rsidP="008E188D">
      <w:pPr>
        <w:ind w:right="283" w:firstLine="709"/>
        <w:jc w:val="both"/>
        <w:rPr>
          <w:rFonts w:cs="Times New Roman"/>
          <w:b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2. Зобов’язання України у сфері європейської інтеграції (у тому числі міжнародно-правові)</w:t>
      </w:r>
    </w:p>
    <w:p w14:paraId="546339B0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</w:rPr>
      </w:pPr>
      <w:r w:rsidRPr="00C02B77">
        <w:rPr>
          <w:rFonts w:cs="Times New Roman"/>
          <w:sz w:val="28"/>
          <w:szCs w:val="28"/>
          <w:lang w:eastAsia="ar-SA" w:bidi="ar-SA"/>
        </w:rPr>
        <w:t xml:space="preserve">Джерела, що стосуються міжнародно-правових зобов’язань України у сфері європейської інтеграції, не є предметом правового регулювання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проєкту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>.</w:t>
      </w:r>
    </w:p>
    <w:p w14:paraId="7DA8E9FA" w14:textId="77777777" w:rsidR="008E188D" w:rsidRPr="00C02B77" w:rsidRDefault="008E188D" w:rsidP="008E188D">
      <w:pPr>
        <w:ind w:right="283"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5425223E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3. Програмні документи у сфері європейської інтеграції</w:t>
      </w:r>
    </w:p>
    <w:p w14:paraId="2F9F7945" w14:textId="77777777" w:rsidR="008E188D" w:rsidRPr="00C02B77" w:rsidRDefault="008E188D" w:rsidP="008E188D">
      <w:pPr>
        <w:pStyle w:val="a3"/>
        <w:spacing w:after="0"/>
        <w:ind w:right="283" w:firstLine="709"/>
        <w:jc w:val="both"/>
        <w:rPr>
          <w:sz w:val="28"/>
          <w:szCs w:val="28"/>
          <w:shd w:val="clear" w:color="auto" w:fill="FFFFFF"/>
        </w:rPr>
      </w:pPr>
      <w:r w:rsidRPr="00C02B77">
        <w:rPr>
          <w:sz w:val="28"/>
          <w:szCs w:val="28"/>
          <w:shd w:val="clear" w:color="auto" w:fill="FFFFFF"/>
        </w:rPr>
        <w:t xml:space="preserve">Програмні документи у сфері європейської інтеграції Президента України та/або Кабінету Міністрів щодо предмета правового регулювання </w:t>
      </w:r>
      <w:proofErr w:type="spellStart"/>
      <w:r w:rsidRPr="00C02B77">
        <w:rPr>
          <w:sz w:val="28"/>
          <w:szCs w:val="28"/>
          <w:shd w:val="clear" w:color="auto" w:fill="FFFFFF"/>
        </w:rPr>
        <w:t>проєкту</w:t>
      </w:r>
      <w:proofErr w:type="spellEnd"/>
      <w:r w:rsidRPr="00C02B7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02B77">
        <w:rPr>
          <w:sz w:val="28"/>
          <w:szCs w:val="28"/>
          <w:shd w:val="clear" w:color="auto" w:fill="FFFFFF"/>
        </w:rPr>
        <w:t>акта</w:t>
      </w:r>
      <w:proofErr w:type="spellEnd"/>
      <w:r w:rsidRPr="00C02B77">
        <w:rPr>
          <w:sz w:val="28"/>
          <w:szCs w:val="28"/>
          <w:shd w:val="clear" w:color="auto" w:fill="FFFFFF"/>
        </w:rPr>
        <w:t xml:space="preserve"> відсутні.</w:t>
      </w:r>
    </w:p>
    <w:p w14:paraId="13FC1041" w14:textId="77777777" w:rsidR="008E188D" w:rsidRPr="00C02B77" w:rsidRDefault="008E188D" w:rsidP="008E188D">
      <w:pPr>
        <w:ind w:right="283" w:firstLine="709"/>
        <w:jc w:val="both"/>
        <w:rPr>
          <w:rFonts w:cs="Times New Roman"/>
          <w:bCs/>
          <w:sz w:val="28"/>
          <w:szCs w:val="28"/>
          <w:lang w:eastAsia="ar-SA" w:bidi="ar-SA"/>
        </w:rPr>
      </w:pPr>
    </w:p>
    <w:p w14:paraId="48084C54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4. Порівняльно-правовий аналіз </w:t>
      </w:r>
    </w:p>
    <w:p w14:paraId="01650DA2" w14:textId="77777777" w:rsidR="008E188D" w:rsidRPr="00C02B77" w:rsidRDefault="008E188D" w:rsidP="008E188D">
      <w:pPr>
        <w:shd w:val="clear" w:color="auto" w:fill="FFFFFF"/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за предметом правового регулювання не стосується </w:t>
      </w:r>
      <w:r w:rsidRPr="00C02B77">
        <w:rPr>
          <w:sz w:val="28"/>
          <w:szCs w:val="28"/>
          <w:shd w:val="clear" w:color="auto" w:fill="FFFFFF"/>
        </w:rPr>
        <w:t>міжнародно-правових зобов’язань України у сфері європейської інтеграції, у зв</w:t>
      </w:r>
      <w:r w:rsidRPr="00C02B77">
        <w:rPr>
          <w:rFonts w:cs="Times New Roman"/>
          <w:sz w:val="28"/>
          <w:szCs w:val="28"/>
          <w:shd w:val="clear" w:color="auto" w:fill="FFFFFF"/>
        </w:rPr>
        <w:t>'</w:t>
      </w:r>
      <w:r w:rsidRPr="00C02B77">
        <w:rPr>
          <w:sz w:val="28"/>
          <w:szCs w:val="28"/>
          <w:shd w:val="clear" w:color="auto" w:fill="FFFFFF"/>
        </w:rPr>
        <w:t>язку з цим порівняльно-правовий аналіз не проводився.</w:t>
      </w:r>
    </w:p>
    <w:p w14:paraId="1CC8AE89" w14:textId="77777777" w:rsidR="008E188D" w:rsidRPr="00C02B77" w:rsidRDefault="008E188D" w:rsidP="008E188D">
      <w:pPr>
        <w:shd w:val="clear" w:color="auto" w:fill="FFFFFF"/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59DC7777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5. Очікувані результати </w:t>
      </w:r>
    </w:p>
    <w:p w14:paraId="79DFF053" w14:textId="533C6FFA" w:rsidR="008E188D" w:rsidRPr="00E35784" w:rsidRDefault="008E188D" w:rsidP="008E188D">
      <w:pPr>
        <w:pStyle w:val="rvps2"/>
        <w:shd w:val="clear" w:color="auto" w:fill="FFFFFF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 w:rsidRPr="00C02B77">
        <w:rPr>
          <w:sz w:val="28"/>
          <w:szCs w:val="28"/>
        </w:rPr>
        <w:t xml:space="preserve">Прийняття </w:t>
      </w:r>
      <w:proofErr w:type="spellStart"/>
      <w:r w:rsidRPr="00C02B77">
        <w:rPr>
          <w:sz w:val="28"/>
          <w:szCs w:val="28"/>
        </w:rPr>
        <w:t>проєкту</w:t>
      </w:r>
      <w:proofErr w:type="spellEnd"/>
      <w:r w:rsidRPr="00C02B77">
        <w:rPr>
          <w:sz w:val="28"/>
          <w:szCs w:val="28"/>
        </w:rPr>
        <w:t xml:space="preserve"> </w:t>
      </w:r>
      <w:proofErr w:type="spellStart"/>
      <w:r w:rsidRPr="00C02B77">
        <w:rPr>
          <w:sz w:val="28"/>
          <w:szCs w:val="28"/>
        </w:rPr>
        <w:t>акта</w:t>
      </w:r>
      <w:proofErr w:type="spellEnd"/>
      <w:r w:rsidRPr="00C02B77">
        <w:rPr>
          <w:sz w:val="28"/>
          <w:szCs w:val="28"/>
        </w:rPr>
        <w:t xml:space="preserve"> забезпечить</w:t>
      </w:r>
      <w:r>
        <w:rPr>
          <w:sz w:val="28"/>
          <w:szCs w:val="28"/>
        </w:rPr>
        <w:t xml:space="preserve"> </w:t>
      </w:r>
      <w:r w:rsidR="00BA6235" w:rsidRPr="00BA6235">
        <w:rPr>
          <w:sz w:val="28"/>
          <w:szCs w:val="28"/>
        </w:rPr>
        <w:t>створення більш сприятливих умов для відкриття аптек та аптечних пунктів у лікувально-профілактичних закладах, що скоротить адміністративні бар’єри, підвищить доступність лікарських засобів для пацієнтів безпосередньо під час отримання медичної допомоги, зменшить ризик переривання лікування, оптимізує використання наявних приміщень у закладах охорони здоров’я, стабілізує кадрове забезпечення таких аптечних закладів та сприятиме формуванню більш конкурентного й ефективного середовища у сфері роздрібної торгівлі лікарськими засобами.</w:t>
      </w:r>
      <w:bookmarkStart w:id="0" w:name="_GoBack"/>
      <w:bookmarkEnd w:id="0"/>
    </w:p>
    <w:p w14:paraId="1F138B74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4BD998D0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6. Узагальнений висновок </w:t>
      </w:r>
    </w:p>
    <w:p w14:paraId="75C83BD3" w14:textId="77777777" w:rsidR="008E188D" w:rsidRPr="00C02B77" w:rsidRDefault="008E188D" w:rsidP="008E188D">
      <w:pPr>
        <w:ind w:right="283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за предметом правового регулювання не стосується </w:t>
      </w:r>
      <w:r w:rsidRPr="00C02B77">
        <w:rPr>
          <w:sz w:val="28"/>
          <w:szCs w:val="28"/>
          <w:shd w:val="clear" w:color="auto" w:fill="FFFFFF"/>
        </w:rPr>
        <w:t>зобов’язань України у сфері європейської інтеграції, у тому числі міжнародно-</w:t>
      </w:r>
      <w:r w:rsidRPr="00C02B77">
        <w:rPr>
          <w:sz w:val="28"/>
          <w:szCs w:val="28"/>
          <w:shd w:val="clear" w:color="auto" w:fill="FFFFFF"/>
        </w:rPr>
        <w:lastRenderedPageBreak/>
        <w:t>правови</w:t>
      </w:r>
      <w:r>
        <w:rPr>
          <w:sz w:val="28"/>
          <w:szCs w:val="28"/>
          <w:shd w:val="clear" w:color="auto" w:fill="FFFFFF"/>
        </w:rPr>
        <w:t>х</w:t>
      </w:r>
      <w:r w:rsidRPr="00C02B77">
        <w:rPr>
          <w:sz w:val="28"/>
          <w:szCs w:val="28"/>
          <w:shd w:val="clear" w:color="auto" w:fill="FFFFFF"/>
        </w:rPr>
        <w:t>, та права Європейського Союзу (</w:t>
      </w:r>
      <w:proofErr w:type="spellStart"/>
      <w:r w:rsidRPr="00C02B77">
        <w:rPr>
          <w:sz w:val="28"/>
          <w:szCs w:val="28"/>
          <w:shd w:val="clear" w:color="auto" w:fill="FFFFFF"/>
        </w:rPr>
        <w:t>acquis</w:t>
      </w:r>
      <w:proofErr w:type="spellEnd"/>
      <w:r w:rsidRPr="00C02B77">
        <w:rPr>
          <w:sz w:val="28"/>
          <w:szCs w:val="28"/>
          <w:shd w:val="clear" w:color="auto" w:fill="FFFFFF"/>
        </w:rPr>
        <w:t xml:space="preserve"> ЄС).</w:t>
      </w:r>
    </w:p>
    <w:p w14:paraId="1DAC0CCF" w14:textId="77777777" w:rsidR="008E188D" w:rsidRPr="00C02B77" w:rsidRDefault="008E188D" w:rsidP="008E188D">
      <w:pPr>
        <w:ind w:right="282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6C741E1D" w14:textId="545C7439" w:rsidR="008E188D" w:rsidRDefault="00802D12" w:rsidP="008E188D">
      <w:pPr>
        <w:pStyle w:val="20"/>
        <w:shd w:val="clear" w:color="auto" w:fill="auto"/>
        <w:spacing w:line="322" w:lineRule="exact"/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t>Заступник Голови</w:t>
      </w:r>
      <w:r w:rsidR="008E188D">
        <w:rPr>
          <w:rFonts w:eastAsia="Calibri"/>
          <w:b/>
        </w:rPr>
        <w:t xml:space="preserve"> Державної служби України </w:t>
      </w:r>
    </w:p>
    <w:p w14:paraId="3DB4323A" w14:textId="77777777" w:rsidR="008E188D" w:rsidRDefault="008E188D" w:rsidP="008E188D">
      <w:pPr>
        <w:pStyle w:val="20"/>
        <w:shd w:val="clear" w:color="auto" w:fill="auto"/>
        <w:spacing w:line="322" w:lineRule="exact"/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t>з лікарських засобів та контролю за</w:t>
      </w:r>
    </w:p>
    <w:p w14:paraId="44F79FEE" w14:textId="2D88186C" w:rsidR="008E188D" w:rsidRPr="00802D12" w:rsidRDefault="008E188D" w:rsidP="008E188D">
      <w:pPr>
        <w:pStyle w:val="20"/>
        <w:shd w:val="clear" w:color="auto" w:fill="auto"/>
        <w:spacing w:line="322" w:lineRule="exact"/>
        <w:ind w:firstLine="0"/>
        <w:jc w:val="left"/>
      </w:pPr>
      <w:r>
        <w:rPr>
          <w:rFonts w:eastAsia="Calibri"/>
          <w:b/>
        </w:rPr>
        <w:t>нарко</w:t>
      </w:r>
      <w:r w:rsidR="00802D12">
        <w:rPr>
          <w:rFonts w:eastAsia="Calibri"/>
          <w:b/>
        </w:rPr>
        <w:t>тиками</w:t>
      </w:r>
      <w:r w:rsidR="00802D12">
        <w:rPr>
          <w:rFonts w:eastAsia="Calibri"/>
          <w:b/>
        </w:rPr>
        <w:tab/>
      </w:r>
      <w:r w:rsidR="00802D12">
        <w:rPr>
          <w:rFonts w:eastAsia="Calibri"/>
          <w:b/>
        </w:rPr>
        <w:tab/>
      </w:r>
      <w:r w:rsidR="00802D12">
        <w:rPr>
          <w:rFonts w:eastAsia="Calibri"/>
          <w:b/>
        </w:rPr>
        <w:tab/>
      </w:r>
      <w:r w:rsidR="00802D12">
        <w:rPr>
          <w:rFonts w:eastAsia="Calibri"/>
          <w:b/>
        </w:rPr>
        <w:tab/>
        <w:t xml:space="preserve">                          Володимир КОРОЛЕНКО</w:t>
      </w:r>
    </w:p>
    <w:p w14:paraId="6ABF4486" w14:textId="77777777" w:rsidR="008E188D" w:rsidRPr="00C02B77" w:rsidRDefault="008E188D" w:rsidP="008E188D">
      <w:pPr>
        <w:ind w:left="-2" w:right="282" w:firstLine="569"/>
        <w:jc w:val="both"/>
        <w:rPr>
          <w:rFonts w:eastAsia="Calibri" w:cs="Times New Roman"/>
          <w:sz w:val="28"/>
          <w:szCs w:val="28"/>
          <w:lang w:eastAsia="en-US"/>
        </w:rPr>
      </w:pPr>
    </w:p>
    <w:p w14:paraId="46B4CB6E" w14:textId="77777777" w:rsidR="008E188D" w:rsidRDefault="008E188D" w:rsidP="008E188D">
      <w:pPr>
        <w:ind w:left="-2" w:right="282"/>
        <w:jc w:val="both"/>
      </w:pPr>
      <w:r w:rsidRPr="00C02B77">
        <w:rPr>
          <w:rFonts w:eastAsia="Calibri" w:cs="Times New Roman"/>
          <w:sz w:val="28"/>
          <w:szCs w:val="28"/>
          <w:lang w:eastAsia="en-US"/>
        </w:rPr>
        <w:t>«____» ___________ 202</w:t>
      </w:r>
      <w:r>
        <w:rPr>
          <w:rFonts w:eastAsia="Calibri" w:cs="Times New Roman"/>
          <w:sz w:val="28"/>
          <w:szCs w:val="28"/>
          <w:lang w:eastAsia="en-US"/>
        </w:rPr>
        <w:t>5</w:t>
      </w:r>
      <w:r w:rsidRPr="00C02B77">
        <w:rPr>
          <w:rFonts w:eastAsia="Calibri" w:cs="Times New Roman"/>
          <w:sz w:val="28"/>
          <w:szCs w:val="28"/>
          <w:lang w:eastAsia="en-US"/>
        </w:rPr>
        <w:t xml:space="preserve"> р.</w:t>
      </w:r>
    </w:p>
    <w:p w14:paraId="7467CAF7" w14:textId="77777777" w:rsidR="008461A6" w:rsidRDefault="008461A6"/>
    <w:sectPr w:rsidR="008461A6" w:rsidSect="00262EBB">
      <w:headerReference w:type="default" r:id="rId6"/>
      <w:pgSz w:w="11906" w:h="16838"/>
      <w:pgMar w:top="709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9DB0D" w14:textId="77777777" w:rsidR="00C33346" w:rsidRDefault="00C33346">
      <w:r>
        <w:separator/>
      </w:r>
    </w:p>
  </w:endnote>
  <w:endnote w:type="continuationSeparator" w:id="0">
    <w:p w14:paraId="513535C2" w14:textId="77777777" w:rsidR="00C33346" w:rsidRDefault="00C3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909C" w14:textId="77777777" w:rsidR="00C33346" w:rsidRDefault="00C33346">
      <w:r>
        <w:separator/>
      </w:r>
    </w:p>
  </w:footnote>
  <w:footnote w:type="continuationSeparator" w:id="0">
    <w:p w14:paraId="588AD67F" w14:textId="77777777" w:rsidR="00C33346" w:rsidRDefault="00C3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375411"/>
      <w:docPartObj>
        <w:docPartGallery w:val="Page Numbers (Top of Page)"/>
        <w:docPartUnique/>
      </w:docPartObj>
    </w:sdtPr>
    <w:sdtEndPr/>
    <w:sdtContent>
      <w:p w14:paraId="20ED1361" w14:textId="2D86A4E8" w:rsidR="00262EBB" w:rsidRDefault="00EB48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35">
          <w:rPr>
            <w:noProof/>
          </w:rPr>
          <w:t>2</w:t>
        </w:r>
        <w:r>
          <w:fldChar w:fldCharType="end"/>
        </w:r>
      </w:p>
    </w:sdtContent>
  </w:sdt>
  <w:p w14:paraId="420D309A" w14:textId="77777777" w:rsidR="00262EBB" w:rsidRDefault="00C333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8D"/>
    <w:rsid w:val="00021FC3"/>
    <w:rsid w:val="00802D12"/>
    <w:rsid w:val="008461A6"/>
    <w:rsid w:val="008E188D"/>
    <w:rsid w:val="00BA6235"/>
    <w:rsid w:val="00C33346"/>
    <w:rsid w:val="00E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3BAA"/>
  <w15:chartTrackingRefBased/>
  <w15:docId w15:val="{D0F2A3BC-014D-0F4E-80EC-B5A99C7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8D"/>
    <w:pPr>
      <w:widowControl w:val="0"/>
      <w:suppressAutoHyphens/>
    </w:pPr>
    <w:rPr>
      <w:rFonts w:ascii="Times New Roman" w:eastAsia="SimSun" w:hAnsi="Times New Roman" w:cs="Arial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188D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188D"/>
    <w:rPr>
      <w:rFonts w:ascii="Times New Roman" w:eastAsia="SimSun" w:hAnsi="Times New Roman" w:cs="Mangal"/>
      <w:szCs w:val="21"/>
      <w:lang w:val="uk-UA" w:eastAsia="hi-IN" w:bidi="hi-IN"/>
      <w14:ligatures w14:val="none"/>
    </w:rPr>
  </w:style>
  <w:style w:type="paragraph" w:customStyle="1" w:styleId="rvps2">
    <w:name w:val="rvps2"/>
    <w:basedOn w:val="a"/>
    <w:rsid w:val="008E188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44">
    <w:name w:val="rvts44"/>
    <w:basedOn w:val="a0"/>
    <w:rsid w:val="008E188D"/>
  </w:style>
  <w:style w:type="paragraph" w:styleId="a5">
    <w:name w:val="header"/>
    <w:basedOn w:val="a"/>
    <w:link w:val="a6"/>
    <w:uiPriority w:val="99"/>
    <w:unhideWhenUsed/>
    <w:rsid w:val="008E188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E188D"/>
    <w:rPr>
      <w:rFonts w:ascii="Times New Roman" w:eastAsia="SimSun" w:hAnsi="Times New Roman" w:cs="Mangal"/>
      <w:szCs w:val="21"/>
      <w:lang w:val="uk-UA" w:eastAsia="hi-IN" w:bidi="hi-IN"/>
      <w14:ligatures w14:val="none"/>
    </w:rPr>
  </w:style>
  <w:style w:type="character" w:customStyle="1" w:styleId="2">
    <w:name w:val="Основной текст (2)_"/>
    <w:basedOn w:val="a0"/>
    <w:link w:val="20"/>
    <w:rsid w:val="008E18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188D"/>
    <w:pPr>
      <w:shd w:val="clear" w:color="auto" w:fill="FFFFFF"/>
      <w:suppressAutoHyphens w:val="0"/>
      <w:spacing w:line="0" w:lineRule="atLeast"/>
      <w:ind w:hanging="620"/>
      <w:jc w:val="right"/>
    </w:pPr>
    <w:rPr>
      <w:rFonts w:eastAsia="Times New Roman" w:cs="Times New Roman"/>
      <w:sz w:val="28"/>
      <w:szCs w:val="28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1624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Долговський Андрій Володимирович</cp:lastModifiedBy>
  <cp:revision>3</cp:revision>
  <dcterms:created xsi:type="dcterms:W3CDTF">2025-05-27T15:09:00Z</dcterms:created>
  <dcterms:modified xsi:type="dcterms:W3CDTF">2025-11-17T21:07:00Z</dcterms:modified>
</cp:coreProperties>
</file>