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9E" w:rsidRPr="00FF184B" w:rsidRDefault="002C1A9E" w:rsidP="007F3215">
      <w:pPr>
        <w:tabs>
          <w:tab w:val="left" w:pos="5812"/>
          <w:tab w:val="left" w:pos="5954"/>
          <w:tab w:val="left" w:pos="6096"/>
        </w:tabs>
        <w:ind w:right="6"/>
        <w:jc w:val="center"/>
        <w:rPr>
          <w:rStyle w:val="a5"/>
          <w:color w:val="0D0D0D" w:themeColor="text1" w:themeTint="F2"/>
          <w:sz w:val="28"/>
          <w:lang w:val="uk-UA" w:eastAsia="uk-UA"/>
        </w:rPr>
      </w:pPr>
      <w:bookmarkStart w:id="0" w:name="n231"/>
      <w:bookmarkEnd w:id="0"/>
      <w:r w:rsidRPr="00FF184B">
        <w:rPr>
          <w:rStyle w:val="a5"/>
          <w:color w:val="0D0D0D" w:themeColor="text1" w:themeTint="F2"/>
          <w:sz w:val="28"/>
          <w:lang w:val="uk-UA" w:eastAsia="uk-UA"/>
        </w:rPr>
        <w:t>ДОВІДКА</w:t>
      </w:r>
      <w:r w:rsidRPr="00FF184B">
        <w:rPr>
          <w:rStyle w:val="a5"/>
          <w:color w:val="0D0D0D" w:themeColor="text1" w:themeTint="F2"/>
          <w:sz w:val="28"/>
          <w:lang w:val="uk-UA" w:eastAsia="uk-UA"/>
        </w:rPr>
        <w:br/>
        <w:t>щодо відповідності зобов’язанням України у сфері</w:t>
      </w:r>
      <w:r w:rsidRPr="00FF184B">
        <w:rPr>
          <w:rStyle w:val="a5"/>
          <w:color w:val="0D0D0D" w:themeColor="text1" w:themeTint="F2"/>
          <w:sz w:val="28"/>
          <w:lang w:val="uk-UA" w:eastAsia="uk-UA"/>
        </w:rPr>
        <w:br/>
        <w:t>європейської інтеграції та праву Європейського Союзу (</w:t>
      </w:r>
      <w:proofErr w:type="spellStart"/>
      <w:r w:rsidRPr="00FF184B">
        <w:rPr>
          <w:rStyle w:val="a5"/>
          <w:color w:val="0D0D0D" w:themeColor="text1" w:themeTint="F2"/>
          <w:sz w:val="28"/>
          <w:lang w:val="uk-UA" w:eastAsia="uk-UA"/>
        </w:rPr>
        <w:t>acquis</w:t>
      </w:r>
      <w:proofErr w:type="spellEnd"/>
      <w:r w:rsidRPr="00FF184B">
        <w:rPr>
          <w:rStyle w:val="a5"/>
          <w:color w:val="0D0D0D" w:themeColor="text1" w:themeTint="F2"/>
          <w:sz w:val="28"/>
          <w:lang w:val="uk-UA" w:eastAsia="uk-UA"/>
        </w:rPr>
        <w:t xml:space="preserve"> ЄС)</w:t>
      </w:r>
      <w:r w:rsidRPr="00FF184B">
        <w:rPr>
          <w:rStyle w:val="a5"/>
          <w:color w:val="0D0D0D" w:themeColor="text1" w:themeTint="F2"/>
          <w:sz w:val="28"/>
          <w:lang w:val="uk-UA" w:eastAsia="uk-UA"/>
        </w:rPr>
        <w:br/>
        <w:t xml:space="preserve">до </w:t>
      </w:r>
      <w:proofErr w:type="spellStart"/>
      <w:r w:rsidRPr="00FF184B">
        <w:rPr>
          <w:rStyle w:val="a5"/>
          <w:color w:val="0D0D0D" w:themeColor="text1" w:themeTint="F2"/>
          <w:sz w:val="28"/>
          <w:lang w:val="uk-UA" w:eastAsia="uk-UA"/>
        </w:rPr>
        <w:t>проєкту</w:t>
      </w:r>
      <w:proofErr w:type="spellEnd"/>
      <w:r w:rsidRPr="00FF184B">
        <w:rPr>
          <w:rStyle w:val="a5"/>
          <w:color w:val="0D0D0D" w:themeColor="text1" w:themeTint="F2"/>
          <w:sz w:val="28"/>
          <w:lang w:val="uk-UA" w:eastAsia="uk-UA"/>
        </w:rPr>
        <w:t xml:space="preserve"> постанови Кабінету Мініс</w:t>
      </w:r>
      <w:r w:rsidR="004D7631">
        <w:rPr>
          <w:rStyle w:val="a5"/>
          <w:color w:val="0D0D0D" w:themeColor="text1" w:themeTint="F2"/>
          <w:sz w:val="28"/>
          <w:lang w:val="uk-UA" w:eastAsia="uk-UA"/>
        </w:rPr>
        <w:t>трів України «Про затвердження Л</w:t>
      </w:r>
      <w:r w:rsidRPr="00FF184B">
        <w:rPr>
          <w:rStyle w:val="a5"/>
          <w:color w:val="0D0D0D" w:themeColor="text1" w:themeTint="F2"/>
          <w:sz w:val="28"/>
          <w:lang w:val="uk-UA" w:eastAsia="uk-UA"/>
        </w:rPr>
        <w:t>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інгредієнтів)»</w:t>
      </w:r>
    </w:p>
    <w:p w:rsidR="002C1A9E" w:rsidRPr="00FF184B" w:rsidRDefault="002C1A9E" w:rsidP="007F3215">
      <w:pPr>
        <w:tabs>
          <w:tab w:val="left" w:pos="5812"/>
          <w:tab w:val="left" w:pos="5954"/>
          <w:tab w:val="left" w:pos="6096"/>
        </w:tabs>
        <w:jc w:val="center"/>
        <w:rPr>
          <w:color w:val="0D0D0D" w:themeColor="text1" w:themeTint="F2"/>
          <w:sz w:val="28"/>
        </w:rPr>
      </w:pPr>
    </w:p>
    <w:p w:rsidR="008F2D0D" w:rsidRPr="00FF184B" w:rsidRDefault="002C1A9E" w:rsidP="008F2D0D">
      <w:pPr>
        <w:shd w:val="clear" w:color="auto" w:fill="FFFFFF"/>
        <w:spacing w:before="150" w:after="150"/>
        <w:ind w:firstLine="567"/>
        <w:jc w:val="both"/>
        <w:rPr>
          <w:color w:val="0D0D0D" w:themeColor="text1" w:themeTint="F2"/>
          <w:sz w:val="28"/>
          <w:lang w:val="uk-UA" w:eastAsia="uk-UA"/>
        </w:rPr>
      </w:pPr>
      <w:bookmarkStart w:id="1" w:name="n885"/>
      <w:bookmarkEnd w:id="1"/>
      <w:proofErr w:type="spellStart"/>
      <w:r w:rsidRPr="00FF184B">
        <w:rPr>
          <w:color w:val="0D0D0D" w:themeColor="text1" w:themeTint="F2"/>
          <w:sz w:val="28"/>
          <w:lang w:val="uk-UA" w:eastAsia="uk-UA"/>
        </w:rPr>
        <w:t>Про</w:t>
      </w:r>
      <w:r w:rsidR="00B007CA" w:rsidRPr="00FF184B">
        <w:rPr>
          <w:color w:val="0D0D0D" w:themeColor="text1" w:themeTint="F2"/>
          <w:sz w:val="28"/>
          <w:lang w:val="uk-UA" w:eastAsia="uk-UA"/>
        </w:rPr>
        <w:t>є</w:t>
      </w:r>
      <w:r w:rsidRPr="00FF184B">
        <w:rPr>
          <w:color w:val="0D0D0D" w:themeColor="text1" w:themeTint="F2"/>
          <w:sz w:val="28"/>
          <w:lang w:val="uk-UA" w:eastAsia="uk-UA"/>
        </w:rPr>
        <w:t>кт</w:t>
      </w:r>
      <w:proofErr w:type="spellEnd"/>
      <w:r w:rsidRPr="00FF184B">
        <w:rPr>
          <w:color w:val="0D0D0D" w:themeColor="text1" w:themeTint="F2"/>
          <w:sz w:val="28"/>
          <w:lang w:val="uk-UA" w:eastAsia="uk-UA"/>
        </w:rPr>
        <w:t xml:space="preserve"> </w:t>
      </w:r>
      <w:proofErr w:type="spellStart"/>
      <w:r w:rsidRPr="00FF184B">
        <w:rPr>
          <w:color w:val="0D0D0D" w:themeColor="text1" w:themeTint="F2"/>
          <w:sz w:val="28"/>
          <w:lang w:val="uk-UA" w:eastAsia="uk-UA"/>
        </w:rPr>
        <w:t>акта</w:t>
      </w:r>
      <w:proofErr w:type="spellEnd"/>
      <w:r w:rsidRPr="00FF184B">
        <w:rPr>
          <w:color w:val="0D0D0D" w:themeColor="text1" w:themeTint="F2"/>
          <w:sz w:val="28"/>
          <w:lang w:val="uk-UA" w:eastAsia="uk-UA"/>
        </w:rPr>
        <w:t xml:space="preserve"> розроблено Державною службою України з лікарських засобів та контролю за наркотиками</w:t>
      </w:r>
      <w:r w:rsidR="008F2D0D" w:rsidRPr="00FF184B">
        <w:rPr>
          <w:color w:val="0D0D0D" w:themeColor="text1" w:themeTint="F2"/>
          <w:sz w:val="28"/>
          <w:lang w:val="uk-UA" w:eastAsia="uk-UA"/>
        </w:rPr>
        <w:t>.</w:t>
      </w:r>
    </w:p>
    <w:p w:rsidR="00FF184B" w:rsidRPr="00FF184B" w:rsidRDefault="00FF184B" w:rsidP="008F2D0D">
      <w:pPr>
        <w:shd w:val="clear" w:color="auto" w:fill="FFFFFF"/>
        <w:spacing w:before="150" w:after="150"/>
        <w:ind w:firstLine="567"/>
        <w:jc w:val="both"/>
        <w:rPr>
          <w:color w:val="0D0D0D" w:themeColor="text1" w:themeTint="F2"/>
          <w:sz w:val="28"/>
          <w:lang w:val="uk-UA" w:eastAsia="uk-UA"/>
        </w:rPr>
      </w:pPr>
    </w:p>
    <w:p w:rsidR="008F2D0D" w:rsidRPr="00FF184B" w:rsidRDefault="002C1A9E" w:rsidP="00486200">
      <w:pPr>
        <w:pStyle w:val="a7"/>
        <w:numPr>
          <w:ilvl w:val="0"/>
          <w:numId w:val="10"/>
        </w:numPr>
        <w:shd w:val="clear" w:color="auto" w:fill="FFFFFF"/>
        <w:tabs>
          <w:tab w:val="left" w:pos="851"/>
        </w:tabs>
        <w:spacing w:after="150"/>
        <w:ind w:left="567" w:firstLine="0"/>
        <w:contextualSpacing w:val="0"/>
        <w:jc w:val="both"/>
        <w:rPr>
          <w:b/>
          <w:color w:val="0D0D0D" w:themeColor="text1" w:themeTint="F2"/>
          <w:sz w:val="28"/>
          <w:lang w:val="uk-UA" w:eastAsia="uk-UA"/>
        </w:rPr>
      </w:pPr>
      <w:bookmarkStart w:id="2" w:name="n1464"/>
      <w:bookmarkEnd w:id="2"/>
      <w:r w:rsidRPr="00FF184B">
        <w:rPr>
          <w:rStyle w:val="a5"/>
          <w:bCs w:val="0"/>
          <w:color w:val="0D0D0D" w:themeColor="text1" w:themeTint="F2"/>
          <w:sz w:val="28"/>
          <w:lang w:val="uk-UA" w:eastAsia="uk-UA"/>
        </w:rPr>
        <w:t xml:space="preserve">Належність проекту </w:t>
      </w:r>
      <w:proofErr w:type="spellStart"/>
      <w:r w:rsidRPr="00FF184B">
        <w:rPr>
          <w:rStyle w:val="a5"/>
          <w:bCs w:val="0"/>
          <w:color w:val="0D0D0D" w:themeColor="text1" w:themeTint="F2"/>
          <w:sz w:val="28"/>
          <w:lang w:val="uk-UA" w:eastAsia="uk-UA"/>
        </w:rPr>
        <w:t>акта</w:t>
      </w:r>
      <w:proofErr w:type="spellEnd"/>
      <w:r w:rsidRPr="00FF184B">
        <w:rPr>
          <w:rStyle w:val="a5"/>
          <w:bCs w:val="0"/>
          <w:color w:val="0D0D0D" w:themeColor="text1" w:themeTint="F2"/>
          <w:sz w:val="28"/>
          <w:lang w:val="uk-UA" w:eastAsia="uk-UA"/>
        </w:rPr>
        <w:t xml:space="preserve"> до сфер, правовідносини в яких регулюються правом Європейського Союзу (</w:t>
      </w:r>
      <w:proofErr w:type="spellStart"/>
      <w:r w:rsidRPr="00FF184B">
        <w:rPr>
          <w:rStyle w:val="a5"/>
          <w:bCs w:val="0"/>
          <w:color w:val="0D0D0D" w:themeColor="text1" w:themeTint="F2"/>
          <w:sz w:val="28"/>
          <w:lang w:val="uk-UA" w:eastAsia="uk-UA"/>
        </w:rPr>
        <w:t>acquis</w:t>
      </w:r>
      <w:proofErr w:type="spellEnd"/>
      <w:r w:rsidRPr="00FF184B">
        <w:rPr>
          <w:rStyle w:val="a5"/>
          <w:bCs w:val="0"/>
          <w:color w:val="0D0D0D" w:themeColor="text1" w:themeTint="F2"/>
          <w:sz w:val="28"/>
          <w:lang w:val="uk-UA" w:eastAsia="uk-UA"/>
        </w:rPr>
        <w:t xml:space="preserve"> ЄС)</w:t>
      </w:r>
      <w:bookmarkStart w:id="3" w:name="n1465"/>
      <w:bookmarkStart w:id="4" w:name="n1466"/>
      <w:bookmarkEnd w:id="3"/>
      <w:bookmarkEnd w:id="4"/>
    </w:p>
    <w:p w:rsidR="008F2D0D" w:rsidRPr="00FF184B" w:rsidRDefault="008F2D0D" w:rsidP="008F2D0D">
      <w:pPr>
        <w:pStyle w:val="a4"/>
        <w:ind w:firstLine="567"/>
        <w:contextualSpacing/>
        <w:jc w:val="both"/>
        <w:rPr>
          <w:color w:val="0D0D0D" w:themeColor="text1" w:themeTint="F2"/>
          <w:sz w:val="28"/>
        </w:rPr>
      </w:pPr>
      <w:proofErr w:type="spellStart"/>
      <w:r w:rsidRPr="00FF184B">
        <w:rPr>
          <w:color w:val="0D0D0D" w:themeColor="text1" w:themeTint="F2"/>
          <w:sz w:val="28"/>
        </w:rPr>
        <w:t>Проєкт</w:t>
      </w:r>
      <w:proofErr w:type="spellEnd"/>
      <w:r w:rsidRPr="00FF184B">
        <w:rPr>
          <w:color w:val="0D0D0D" w:themeColor="text1" w:themeTint="F2"/>
          <w:sz w:val="28"/>
        </w:rPr>
        <w:t xml:space="preserve"> </w:t>
      </w:r>
      <w:proofErr w:type="spellStart"/>
      <w:r w:rsidR="00FF184B" w:rsidRPr="00FF184B">
        <w:rPr>
          <w:color w:val="0D0D0D" w:themeColor="text1" w:themeTint="F2"/>
          <w:sz w:val="28"/>
        </w:rPr>
        <w:t>акта</w:t>
      </w:r>
      <w:proofErr w:type="spellEnd"/>
      <w:r w:rsidR="00FF184B" w:rsidRPr="00FF184B">
        <w:rPr>
          <w:color w:val="0D0D0D" w:themeColor="text1" w:themeTint="F2"/>
          <w:sz w:val="28"/>
        </w:rPr>
        <w:t xml:space="preserve"> </w:t>
      </w:r>
      <w:r w:rsidRPr="00FF184B">
        <w:rPr>
          <w:color w:val="0D0D0D" w:themeColor="text1" w:themeTint="F2"/>
          <w:sz w:val="28"/>
        </w:rPr>
        <w:t>за предметом правового регулювання належить до сфери, яка регулюється правом Європейського Союзу (</w:t>
      </w:r>
      <w:proofErr w:type="spellStart"/>
      <w:r w:rsidRPr="00FF184B">
        <w:rPr>
          <w:color w:val="0D0D0D" w:themeColor="text1" w:themeTint="F2"/>
          <w:sz w:val="28"/>
        </w:rPr>
        <w:t>acquis</w:t>
      </w:r>
      <w:proofErr w:type="spellEnd"/>
      <w:r w:rsidRPr="00FF184B">
        <w:rPr>
          <w:color w:val="0D0D0D" w:themeColor="text1" w:themeTint="F2"/>
          <w:sz w:val="28"/>
        </w:rPr>
        <w:t xml:space="preserve"> ЄС).</w:t>
      </w:r>
    </w:p>
    <w:p w:rsidR="008F2D0D" w:rsidRPr="00FF184B" w:rsidRDefault="008F2D0D" w:rsidP="008F2D0D">
      <w:pPr>
        <w:pStyle w:val="a4"/>
        <w:ind w:firstLine="567"/>
        <w:contextualSpacing/>
        <w:jc w:val="both"/>
        <w:rPr>
          <w:color w:val="0D0D0D" w:themeColor="text1" w:themeTint="F2"/>
          <w:sz w:val="28"/>
        </w:rPr>
      </w:pPr>
      <w:r w:rsidRPr="00FF184B">
        <w:rPr>
          <w:color w:val="0D0D0D" w:themeColor="text1" w:themeTint="F2"/>
          <w:sz w:val="28"/>
        </w:rPr>
        <w:t xml:space="preserve">Програмними документами Європейського </w:t>
      </w:r>
      <w:r w:rsidR="006E6DBE">
        <w:rPr>
          <w:color w:val="0D0D0D" w:themeColor="text1" w:themeTint="F2"/>
          <w:sz w:val="28"/>
        </w:rPr>
        <w:t xml:space="preserve">Союзу за предметом правового регулювання </w:t>
      </w:r>
      <w:proofErr w:type="spellStart"/>
      <w:r w:rsidR="006E6DBE">
        <w:rPr>
          <w:color w:val="0D0D0D" w:themeColor="text1" w:themeTint="F2"/>
          <w:sz w:val="28"/>
        </w:rPr>
        <w:t>проєкту</w:t>
      </w:r>
      <w:proofErr w:type="spellEnd"/>
      <w:r w:rsidR="006E6DBE">
        <w:rPr>
          <w:color w:val="0D0D0D" w:themeColor="text1" w:themeTint="F2"/>
          <w:sz w:val="28"/>
        </w:rPr>
        <w:t xml:space="preserve"> </w:t>
      </w:r>
      <w:proofErr w:type="spellStart"/>
      <w:r w:rsidR="006E6DBE">
        <w:rPr>
          <w:color w:val="0D0D0D" w:themeColor="text1" w:themeTint="F2"/>
          <w:sz w:val="28"/>
        </w:rPr>
        <w:t>акта</w:t>
      </w:r>
      <w:proofErr w:type="spellEnd"/>
      <w:r w:rsidRPr="00FF184B">
        <w:rPr>
          <w:color w:val="0D0D0D" w:themeColor="text1" w:themeTint="F2"/>
          <w:sz w:val="28"/>
        </w:rPr>
        <w:t xml:space="preserve"> є:</w:t>
      </w:r>
    </w:p>
    <w:p w:rsidR="008F2D0D" w:rsidRPr="00FF184B" w:rsidRDefault="008F2D0D" w:rsidP="008F2D0D">
      <w:pPr>
        <w:pStyle w:val="a4"/>
        <w:ind w:firstLine="567"/>
        <w:contextualSpacing/>
        <w:jc w:val="both"/>
        <w:rPr>
          <w:color w:val="0D0D0D" w:themeColor="text1" w:themeTint="F2"/>
          <w:sz w:val="28"/>
        </w:rPr>
      </w:pPr>
      <w:r w:rsidRPr="00FF184B">
        <w:rPr>
          <w:color w:val="0D0D0D" w:themeColor="text1" w:themeTint="F2"/>
          <w:sz w:val="28"/>
        </w:rPr>
        <w:t>Директива № 2001/83/ЄС Європейського Парламенту та Ради від 6 листопада 2001 року «Про Кодекс Співтовариства щодо лікарських засобів, призначених для застосування людиною»;</w:t>
      </w:r>
    </w:p>
    <w:p w:rsidR="008F2D0D" w:rsidRPr="00FF184B" w:rsidRDefault="008F2D0D" w:rsidP="008F2D0D">
      <w:pPr>
        <w:pStyle w:val="a4"/>
        <w:ind w:firstLine="567"/>
        <w:contextualSpacing/>
        <w:jc w:val="both"/>
        <w:rPr>
          <w:color w:val="0D0D0D" w:themeColor="text1" w:themeTint="F2"/>
          <w:sz w:val="28"/>
        </w:rPr>
      </w:pPr>
      <w:r w:rsidRPr="00FF184B">
        <w:rPr>
          <w:color w:val="0D0D0D" w:themeColor="text1" w:themeTint="F2"/>
          <w:sz w:val="28"/>
        </w:rPr>
        <w:t>Регламент (ЄС) № 726/2004 Європейського Парламенту та Ради від 31 березня 2004 року, що встановлює процедури дозволу та нагляду за лікарськими засобами для застосування людьми та тваринами, а також засновує Європейське агентство з лікарських засобів (EMA);</w:t>
      </w:r>
    </w:p>
    <w:p w:rsidR="008F2D0D" w:rsidRDefault="008F2D0D" w:rsidP="008F2D0D">
      <w:pPr>
        <w:pStyle w:val="a4"/>
        <w:ind w:firstLine="567"/>
        <w:contextualSpacing/>
        <w:jc w:val="both"/>
        <w:rPr>
          <w:color w:val="0D0D0D" w:themeColor="text1" w:themeTint="F2"/>
          <w:sz w:val="28"/>
        </w:rPr>
      </w:pPr>
      <w:r w:rsidRPr="00FF184B">
        <w:rPr>
          <w:color w:val="0D0D0D" w:themeColor="text1" w:themeTint="F2"/>
          <w:sz w:val="28"/>
        </w:rPr>
        <w:t>Директива № 2003/94/ЄС Комісії від 8 жовтня 2003 року, яка встановлює принципи та настанови належної виробничої практики (GMP) для лікарських засобів, призначених для застосування людиною, включаючи досліджувані лікарські засоби;</w:t>
      </w:r>
    </w:p>
    <w:p w:rsidR="00B01B1D" w:rsidRDefault="00B01B1D" w:rsidP="00B01B1D">
      <w:pPr>
        <w:pStyle w:val="a4"/>
        <w:ind w:firstLine="567"/>
        <w:contextualSpacing/>
        <w:jc w:val="both"/>
        <w:rPr>
          <w:color w:val="0D0D0D" w:themeColor="text1" w:themeTint="F2"/>
          <w:sz w:val="28"/>
          <w:lang w:val="ru-RU"/>
        </w:rPr>
      </w:pPr>
      <w:r w:rsidRPr="00B01B1D">
        <w:rPr>
          <w:color w:val="0D0D0D" w:themeColor="text1" w:themeTint="F2"/>
          <w:sz w:val="28"/>
        </w:rPr>
        <w:t>Директива (ЄС) 2017/1572 від 15 вересня 2</w:t>
      </w:r>
      <w:r>
        <w:rPr>
          <w:color w:val="0D0D0D" w:themeColor="text1" w:themeTint="F2"/>
          <w:sz w:val="28"/>
        </w:rPr>
        <w:t xml:space="preserve">017 року, </w:t>
      </w:r>
      <w:r w:rsidRPr="00B01B1D">
        <w:rPr>
          <w:color w:val="0D0D0D" w:themeColor="text1" w:themeTint="F2"/>
          <w:sz w:val="28"/>
        </w:rPr>
        <w:t>що доповнює Директиву 2001/83/ЄС Є</w:t>
      </w:r>
      <w:r>
        <w:rPr>
          <w:color w:val="0D0D0D" w:themeColor="text1" w:themeTint="F2"/>
          <w:sz w:val="28"/>
        </w:rPr>
        <w:t xml:space="preserve">вропейського Парламенту та Ради </w:t>
      </w:r>
      <w:r w:rsidRPr="00B01B1D">
        <w:rPr>
          <w:color w:val="0D0D0D" w:themeColor="text1" w:themeTint="F2"/>
          <w:sz w:val="28"/>
        </w:rPr>
        <w:t>щодо принципів і настанов належної виробничої практики лікарських засобів для застосування людиною</w:t>
      </w:r>
      <w:r w:rsidRPr="00B01B1D">
        <w:rPr>
          <w:color w:val="0D0D0D" w:themeColor="text1" w:themeTint="F2"/>
          <w:sz w:val="28"/>
          <w:lang w:val="ru-RU"/>
        </w:rPr>
        <w:t>;</w:t>
      </w:r>
    </w:p>
    <w:p w:rsidR="00B01B1D" w:rsidRPr="00A3384A" w:rsidRDefault="00B01B1D" w:rsidP="00B01B1D">
      <w:pPr>
        <w:pStyle w:val="a4"/>
        <w:ind w:firstLine="567"/>
        <w:contextualSpacing/>
        <w:jc w:val="both"/>
        <w:rPr>
          <w:color w:val="0D0D0D" w:themeColor="text1" w:themeTint="F2"/>
          <w:sz w:val="28"/>
          <w:lang w:val="ru-RU"/>
        </w:rPr>
      </w:pPr>
      <w:proofErr w:type="spellStart"/>
      <w:r w:rsidRPr="00B01B1D">
        <w:rPr>
          <w:color w:val="0D0D0D" w:themeColor="text1" w:themeTint="F2"/>
          <w:sz w:val="28"/>
          <w:lang w:val="ru-RU"/>
        </w:rPr>
        <w:t>Делегований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регламент </w:t>
      </w:r>
      <w:proofErr w:type="spellStart"/>
      <w:r w:rsidRPr="00B01B1D">
        <w:rPr>
          <w:color w:val="0D0D0D" w:themeColor="text1" w:themeTint="F2"/>
          <w:sz w:val="28"/>
          <w:lang w:val="ru-RU"/>
        </w:rPr>
        <w:t>Комісії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(ЄС) 201</w:t>
      </w:r>
      <w:r>
        <w:rPr>
          <w:color w:val="0D0D0D" w:themeColor="text1" w:themeTint="F2"/>
          <w:sz w:val="28"/>
          <w:lang w:val="ru-RU"/>
        </w:rPr>
        <w:t xml:space="preserve">7/1569 </w:t>
      </w:r>
      <w:proofErr w:type="spellStart"/>
      <w:r>
        <w:rPr>
          <w:color w:val="0D0D0D" w:themeColor="text1" w:themeTint="F2"/>
          <w:sz w:val="28"/>
          <w:lang w:val="ru-RU"/>
        </w:rPr>
        <w:t>від</w:t>
      </w:r>
      <w:proofErr w:type="spellEnd"/>
      <w:r>
        <w:rPr>
          <w:color w:val="0D0D0D" w:themeColor="text1" w:themeTint="F2"/>
          <w:sz w:val="28"/>
          <w:lang w:val="ru-RU"/>
        </w:rPr>
        <w:t xml:space="preserve"> 23 </w:t>
      </w:r>
      <w:proofErr w:type="spellStart"/>
      <w:r>
        <w:rPr>
          <w:color w:val="0D0D0D" w:themeColor="text1" w:themeTint="F2"/>
          <w:sz w:val="28"/>
          <w:lang w:val="ru-RU"/>
        </w:rPr>
        <w:t>травня</w:t>
      </w:r>
      <w:proofErr w:type="spellEnd"/>
      <w:r>
        <w:rPr>
          <w:color w:val="0D0D0D" w:themeColor="text1" w:themeTint="F2"/>
          <w:sz w:val="28"/>
          <w:lang w:val="ru-RU"/>
        </w:rPr>
        <w:t xml:space="preserve"> 2017 року,</w:t>
      </w:r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що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доповнює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Регламент (ЄС) № 536/2014 </w:t>
      </w:r>
      <w:proofErr w:type="spellStart"/>
      <w:r w:rsidRPr="00B01B1D">
        <w:rPr>
          <w:color w:val="0D0D0D" w:themeColor="text1" w:themeTint="F2"/>
          <w:sz w:val="28"/>
          <w:lang w:val="ru-RU"/>
        </w:rPr>
        <w:t>Єв</w:t>
      </w:r>
      <w:r>
        <w:rPr>
          <w:color w:val="0D0D0D" w:themeColor="text1" w:themeTint="F2"/>
          <w:sz w:val="28"/>
          <w:lang w:val="ru-RU"/>
        </w:rPr>
        <w:t>ропейського</w:t>
      </w:r>
      <w:proofErr w:type="spellEnd"/>
      <w:r>
        <w:rPr>
          <w:color w:val="0D0D0D" w:themeColor="text1" w:themeTint="F2"/>
          <w:sz w:val="28"/>
          <w:lang w:val="ru-RU"/>
        </w:rPr>
        <w:t xml:space="preserve"> Парламенту та </w:t>
      </w:r>
      <w:proofErr w:type="gramStart"/>
      <w:r>
        <w:rPr>
          <w:color w:val="0D0D0D" w:themeColor="text1" w:themeTint="F2"/>
          <w:sz w:val="28"/>
          <w:lang w:val="ru-RU"/>
        </w:rPr>
        <w:t>Ради</w:t>
      </w:r>
      <w:proofErr w:type="gramEnd"/>
      <w:r>
        <w:rPr>
          <w:color w:val="0D0D0D" w:themeColor="text1" w:themeTint="F2"/>
          <w:sz w:val="28"/>
          <w:lang w:val="ru-RU"/>
        </w:rPr>
        <w:t>,</w:t>
      </w:r>
      <w:r w:rsidRPr="00A3384A">
        <w:rPr>
          <w:color w:val="0D0D0D" w:themeColor="text1" w:themeTint="F2"/>
          <w:sz w:val="28"/>
          <w:lang w:val="ru-RU"/>
        </w:rPr>
        <w:t xml:space="preserve"> </w:t>
      </w:r>
      <w:r w:rsidRPr="00B01B1D">
        <w:rPr>
          <w:color w:val="0D0D0D" w:themeColor="text1" w:themeTint="F2"/>
          <w:sz w:val="28"/>
          <w:lang w:val="ru-RU"/>
        </w:rPr>
        <w:t xml:space="preserve">шляхом </w:t>
      </w:r>
      <w:proofErr w:type="spellStart"/>
      <w:r w:rsidRPr="00B01B1D">
        <w:rPr>
          <w:color w:val="0D0D0D" w:themeColor="text1" w:themeTint="F2"/>
          <w:sz w:val="28"/>
          <w:lang w:val="ru-RU"/>
        </w:rPr>
        <w:t>визначення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принципів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і </w:t>
      </w:r>
      <w:proofErr w:type="spellStart"/>
      <w:r w:rsidRPr="00B01B1D">
        <w:rPr>
          <w:color w:val="0D0D0D" w:themeColor="text1" w:themeTint="F2"/>
          <w:sz w:val="28"/>
          <w:lang w:val="ru-RU"/>
        </w:rPr>
        <w:t>настанов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належної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виробничої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практики для </w:t>
      </w:r>
      <w:proofErr w:type="spellStart"/>
      <w:r w:rsidRPr="00B01B1D">
        <w:rPr>
          <w:color w:val="0D0D0D" w:themeColor="text1" w:themeTint="F2"/>
          <w:sz w:val="28"/>
          <w:lang w:val="ru-RU"/>
        </w:rPr>
        <w:t>досліджуваних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лікарських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засобів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для </w:t>
      </w:r>
      <w:proofErr w:type="spellStart"/>
      <w:r w:rsidRPr="00B01B1D">
        <w:rPr>
          <w:color w:val="0D0D0D" w:themeColor="text1" w:themeTint="F2"/>
          <w:sz w:val="28"/>
          <w:lang w:val="ru-RU"/>
        </w:rPr>
        <w:t>застосування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людиною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, а </w:t>
      </w:r>
      <w:proofErr w:type="spellStart"/>
      <w:r w:rsidRPr="00B01B1D">
        <w:rPr>
          <w:color w:val="0D0D0D" w:themeColor="text1" w:themeTint="F2"/>
          <w:sz w:val="28"/>
          <w:lang w:val="ru-RU"/>
        </w:rPr>
        <w:t>також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порядку </w:t>
      </w:r>
      <w:proofErr w:type="spellStart"/>
      <w:r w:rsidRPr="00B01B1D">
        <w:rPr>
          <w:color w:val="0D0D0D" w:themeColor="text1" w:themeTint="F2"/>
          <w:sz w:val="28"/>
          <w:lang w:val="ru-RU"/>
        </w:rPr>
        <w:t>проведення</w:t>
      </w:r>
      <w:proofErr w:type="spellEnd"/>
      <w:r w:rsidRPr="00B01B1D">
        <w:rPr>
          <w:color w:val="0D0D0D" w:themeColor="text1" w:themeTint="F2"/>
          <w:sz w:val="28"/>
          <w:lang w:val="ru-RU"/>
        </w:rPr>
        <w:t xml:space="preserve"> </w:t>
      </w:r>
      <w:proofErr w:type="spellStart"/>
      <w:r w:rsidRPr="00B01B1D">
        <w:rPr>
          <w:color w:val="0D0D0D" w:themeColor="text1" w:themeTint="F2"/>
          <w:sz w:val="28"/>
          <w:lang w:val="ru-RU"/>
        </w:rPr>
        <w:t>інспекцій</w:t>
      </w:r>
      <w:proofErr w:type="spellEnd"/>
      <w:r w:rsidR="00A3384A" w:rsidRPr="00A3384A">
        <w:rPr>
          <w:color w:val="0D0D0D" w:themeColor="text1" w:themeTint="F2"/>
          <w:sz w:val="28"/>
          <w:lang w:val="ru-RU"/>
        </w:rPr>
        <w:t>.</w:t>
      </w:r>
    </w:p>
    <w:p w:rsidR="008F2D0D" w:rsidRPr="00FF184B" w:rsidRDefault="008F2D0D" w:rsidP="008F2D0D">
      <w:pPr>
        <w:pStyle w:val="a4"/>
        <w:ind w:firstLine="567"/>
        <w:contextualSpacing/>
        <w:jc w:val="both"/>
        <w:rPr>
          <w:color w:val="0D0D0D" w:themeColor="text1" w:themeTint="F2"/>
          <w:sz w:val="28"/>
        </w:rPr>
      </w:pPr>
      <w:r w:rsidRPr="00FF184B">
        <w:rPr>
          <w:color w:val="0D0D0D" w:themeColor="text1" w:themeTint="F2"/>
          <w:sz w:val="28"/>
        </w:rPr>
        <w:lastRenderedPageBreak/>
        <w:t>Регламент (ЄС) № 536/2014 Європейського Парламенту та Ради від 16 квітня 2014 року щодо клінічних випробувань лікарських засобів для людини.</w:t>
      </w:r>
    </w:p>
    <w:p w:rsidR="007867FD" w:rsidRPr="00FF184B" w:rsidRDefault="007867FD" w:rsidP="00486200">
      <w:pPr>
        <w:shd w:val="clear" w:color="auto" w:fill="FFFFFF"/>
        <w:spacing w:after="150"/>
        <w:ind w:firstLine="567"/>
        <w:jc w:val="both"/>
        <w:rPr>
          <w:color w:val="0D0D0D" w:themeColor="text1" w:themeTint="F2"/>
          <w:sz w:val="28"/>
          <w:lang w:val="uk-UA" w:eastAsia="uk-UA"/>
        </w:rPr>
      </w:pPr>
      <w:r w:rsidRPr="00FF184B">
        <w:rPr>
          <w:b/>
          <w:bCs/>
          <w:color w:val="0D0D0D" w:themeColor="text1" w:themeTint="F2"/>
          <w:sz w:val="28"/>
          <w:lang w:val="uk-UA" w:eastAsia="uk-UA"/>
        </w:rPr>
        <w:t>2. Зобов’язання України у сфері європейської інтеграції (у тому числі міжнародно-правові)</w:t>
      </w:r>
    </w:p>
    <w:p w:rsidR="00E011CB" w:rsidRPr="00FF184B" w:rsidRDefault="00E011CB" w:rsidP="007F321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  <w:bookmarkStart w:id="5" w:name="n1468"/>
      <w:bookmarkEnd w:id="5"/>
      <w:proofErr w:type="spellStart"/>
      <w:r w:rsidRPr="00FF184B">
        <w:rPr>
          <w:color w:val="0D0D0D" w:themeColor="text1" w:themeTint="F2"/>
          <w:sz w:val="28"/>
        </w:rPr>
        <w:t>Проєкт</w:t>
      </w:r>
      <w:proofErr w:type="spellEnd"/>
      <w:r w:rsidRPr="00FF184B">
        <w:rPr>
          <w:color w:val="0D0D0D" w:themeColor="text1" w:themeTint="F2"/>
          <w:sz w:val="28"/>
        </w:rPr>
        <w:t xml:space="preserve"> </w:t>
      </w:r>
      <w:proofErr w:type="spellStart"/>
      <w:r w:rsidRPr="00FF184B">
        <w:rPr>
          <w:color w:val="0D0D0D" w:themeColor="text1" w:themeTint="F2"/>
          <w:sz w:val="28"/>
        </w:rPr>
        <w:t>акта</w:t>
      </w:r>
      <w:proofErr w:type="spellEnd"/>
      <w:r w:rsidRPr="00FF184B">
        <w:rPr>
          <w:color w:val="0D0D0D" w:themeColor="text1" w:themeTint="F2"/>
          <w:sz w:val="28"/>
        </w:rPr>
        <w:t xml:space="preserve"> за предметом правового регулювання не стосується міжнародно-правових зобов’язань України у сфері європейської інтеграції.</w:t>
      </w:r>
    </w:p>
    <w:p w:rsidR="00E011CB" w:rsidRPr="00FF184B" w:rsidRDefault="00E011CB" w:rsidP="00486200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100" w:beforeAutospacing="1" w:after="100" w:afterAutospacing="1"/>
        <w:ind w:left="567" w:firstLine="0"/>
        <w:rPr>
          <w:b/>
          <w:bCs/>
          <w:color w:val="0D0D0D" w:themeColor="text1" w:themeTint="F2"/>
          <w:sz w:val="28"/>
          <w:lang w:val="uk-UA" w:eastAsia="uk-UA"/>
        </w:rPr>
      </w:pPr>
      <w:r w:rsidRPr="00FF184B">
        <w:rPr>
          <w:b/>
          <w:color w:val="0D0D0D" w:themeColor="text1" w:themeTint="F2"/>
          <w:sz w:val="28"/>
          <w:lang w:val="uk-UA" w:eastAsia="uk-UA"/>
        </w:rPr>
        <w:t>Програмні документи у сфері європейської інтеграції</w:t>
      </w:r>
    </w:p>
    <w:p w:rsidR="00E011CB" w:rsidRPr="00FF184B" w:rsidRDefault="00E011CB" w:rsidP="00FF184B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  <w:r w:rsidRPr="00FF184B">
        <w:rPr>
          <w:color w:val="0D0D0D" w:themeColor="text1" w:themeTint="F2"/>
          <w:sz w:val="28"/>
        </w:rPr>
        <w:t xml:space="preserve">Програмні документи у сфері європейської інтеграції Президента України та/або Кабінету Міністрів України щодо предмета правового регулювання </w:t>
      </w:r>
      <w:proofErr w:type="spellStart"/>
      <w:r w:rsidR="008A1715">
        <w:rPr>
          <w:color w:val="0D0D0D" w:themeColor="text1" w:themeTint="F2"/>
          <w:sz w:val="28"/>
        </w:rPr>
        <w:t>п</w:t>
      </w:r>
      <w:r w:rsidRPr="00FF184B">
        <w:rPr>
          <w:color w:val="0D0D0D" w:themeColor="text1" w:themeTint="F2"/>
          <w:sz w:val="28"/>
        </w:rPr>
        <w:t>роєкту</w:t>
      </w:r>
      <w:proofErr w:type="spellEnd"/>
      <w:r w:rsidRPr="00FF184B">
        <w:rPr>
          <w:color w:val="0D0D0D" w:themeColor="text1" w:themeTint="F2"/>
          <w:sz w:val="28"/>
        </w:rPr>
        <w:t xml:space="preserve"> </w:t>
      </w:r>
      <w:proofErr w:type="spellStart"/>
      <w:r w:rsidR="00FF184B" w:rsidRPr="00FF184B">
        <w:rPr>
          <w:color w:val="0D0D0D" w:themeColor="text1" w:themeTint="F2"/>
          <w:sz w:val="28"/>
        </w:rPr>
        <w:t>акта</w:t>
      </w:r>
      <w:proofErr w:type="spellEnd"/>
      <w:r w:rsidR="00FF184B" w:rsidRPr="00FF184B">
        <w:rPr>
          <w:color w:val="0D0D0D" w:themeColor="text1" w:themeTint="F2"/>
          <w:sz w:val="28"/>
        </w:rPr>
        <w:t xml:space="preserve"> </w:t>
      </w:r>
      <w:r w:rsidR="008F2D0D" w:rsidRPr="00FF184B">
        <w:rPr>
          <w:color w:val="0D0D0D" w:themeColor="text1" w:themeTint="F2"/>
          <w:sz w:val="28"/>
        </w:rPr>
        <w:t xml:space="preserve">- </w:t>
      </w:r>
      <w:r w:rsidRPr="00FF184B">
        <w:rPr>
          <w:color w:val="0D0D0D" w:themeColor="text1" w:themeTint="F2"/>
          <w:sz w:val="28"/>
        </w:rPr>
        <w:t xml:space="preserve"> відсутні.</w:t>
      </w:r>
    </w:p>
    <w:p w:rsidR="00E011CB" w:rsidRPr="00FF184B" w:rsidRDefault="00E011CB" w:rsidP="00486200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100" w:beforeAutospacing="1" w:after="100" w:afterAutospacing="1"/>
        <w:ind w:left="567" w:firstLine="0"/>
        <w:rPr>
          <w:b/>
          <w:color w:val="0D0D0D" w:themeColor="text1" w:themeTint="F2"/>
          <w:sz w:val="28"/>
          <w:lang w:val="uk-UA" w:eastAsia="uk-UA"/>
        </w:rPr>
      </w:pPr>
      <w:r w:rsidRPr="00FF184B">
        <w:rPr>
          <w:b/>
          <w:bCs/>
          <w:color w:val="0D0D0D" w:themeColor="text1" w:themeTint="F2"/>
          <w:sz w:val="28"/>
          <w:lang w:val="uk-UA" w:eastAsia="uk-UA"/>
        </w:rPr>
        <w:t>Порівняльно-правовий аналіз</w:t>
      </w:r>
    </w:p>
    <w:p w:rsidR="00E011CB" w:rsidRPr="00FF184B" w:rsidRDefault="00E011CB" w:rsidP="007F321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  <w:proofErr w:type="spellStart"/>
      <w:r w:rsidRPr="00FF184B">
        <w:rPr>
          <w:color w:val="0D0D0D" w:themeColor="text1" w:themeTint="F2"/>
          <w:sz w:val="28"/>
        </w:rPr>
        <w:t>Проєкт</w:t>
      </w:r>
      <w:proofErr w:type="spellEnd"/>
      <w:r w:rsidRPr="00FF184B">
        <w:rPr>
          <w:color w:val="0D0D0D" w:themeColor="text1" w:themeTint="F2"/>
          <w:sz w:val="28"/>
        </w:rPr>
        <w:t xml:space="preserve"> </w:t>
      </w:r>
      <w:proofErr w:type="spellStart"/>
      <w:r w:rsidR="00FF184B" w:rsidRPr="00FF184B">
        <w:rPr>
          <w:color w:val="0D0D0D" w:themeColor="text1" w:themeTint="F2"/>
          <w:sz w:val="28"/>
        </w:rPr>
        <w:t>акта</w:t>
      </w:r>
      <w:proofErr w:type="spellEnd"/>
      <w:r w:rsidR="00FF184B" w:rsidRPr="00FF184B">
        <w:rPr>
          <w:color w:val="0D0D0D" w:themeColor="text1" w:themeTint="F2"/>
          <w:sz w:val="28"/>
        </w:rPr>
        <w:t xml:space="preserve"> </w:t>
      </w:r>
      <w:r w:rsidRPr="00FF184B">
        <w:rPr>
          <w:color w:val="0D0D0D" w:themeColor="text1" w:themeTint="F2"/>
          <w:sz w:val="28"/>
        </w:rPr>
        <w:t>за предметом правового регулювання не стосується міжнародно-правових зобов’язань України у сфері європейської інтеграції, тому порівняльно-правовий аналіз не проводився.</w:t>
      </w:r>
    </w:p>
    <w:p w:rsidR="00E011CB" w:rsidRPr="00FF184B" w:rsidRDefault="00E011CB" w:rsidP="00486200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100" w:beforeAutospacing="1" w:after="100" w:afterAutospacing="1"/>
        <w:ind w:left="567" w:firstLine="0"/>
        <w:rPr>
          <w:b/>
          <w:bCs/>
          <w:color w:val="0D0D0D" w:themeColor="text1" w:themeTint="F2"/>
          <w:sz w:val="28"/>
          <w:lang w:val="uk-UA" w:eastAsia="uk-UA"/>
        </w:rPr>
      </w:pPr>
      <w:r w:rsidRPr="00FF184B">
        <w:rPr>
          <w:b/>
          <w:color w:val="0D0D0D" w:themeColor="text1" w:themeTint="F2"/>
          <w:sz w:val="28"/>
          <w:lang w:val="uk-UA" w:eastAsia="uk-UA"/>
        </w:rPr>
        <w:t>Очікувані результати</w:t>
      </w:r>
    </w:p>
    <w:p w:rsidR="00FF184B" w:rsidRPr="00FF184B" w:rsidRDefault="008A1715" w:rsidP="00FF184B">
      <w:pPr>
        <w:shd w:val="clear" w:color="auto" w:fill="FFFFFF"/>
        <w:tabs>
          <w:tab w:val="left" w:pos="851"/>
        </w:tabs>
        <w:spacing w:before="100" w:beforeAutospacing="1" w:after="100" w:afterAutospacing="1"/>
        <w:ind w:firstLine="567"/>
        <w:jc w:val="both"/>
        <w:rPr>
          <w:color w:val="0D0D0D" w:themeColor="text1" w:themeTint="F2"/>
          <w:sz w:val="28"/>
          <w:lang w:val="uk-UA" w:eastAsia="uk-UA"/>
        </w:rPr>
      </w:pPr>
      <w:r>
        <w:rPr>
          <w:color w:val="0D0D0D" w:themeColor="text1" w:themeTint="F2"/>
          <w:sz w:val="28"/>
          <w:lang w:val="uk-UA" w:eastAsia="uk-UA"/>
        </w:rPr>
        <w:t xml:space="preserve">Прийняття </w:t>
      </w:r>
      <w:proofErr w:type="spellStart"/>
      <w:r>
        <w:rPr>
          <w:color w:val="0D0D0D" w:themeColor="text1" w:themeTint="F2"/>
          <w:sz w:val="28"/>
          <w:lang w:val="uk-UA" w:eastAsia="uk-UA"/>
        </w:rPr>
        <w:t>п</w:t>
      </w:r>
      <w:r w:rsidR="00FF184B" w:rsidRPr="00FF184B">
        <w:rPr>
          <w:color w:val="0D0D0D" w:themeColor="text1" w:themeTint="F2"/>
          <w:sz w:val="28"/>
          <w:lang w:val="uk-UA" w:eastAsia="uk-UA"/>
        </w:rPr>
        <w:t>роєкту</w:t>
      </w:r>
      <w:proofErr w:type="spellEnd"/>
      <w:r w:rsidR="00FF184B" w:rsidRPr="00FF184B">
        <w:rPr>
          <w:color w:val="0D0D0D" w:themeColor="text1" w:themeTint="F2"/>
          <w:sz w:val="28"/>
          <w:lang w:val="uk-UA" w:eastAsia="uk-UA"/>
        </w:rPr>
        <w:t xml:space="preserve"> </w:t>
      </w:r>
      <w:proofErr w:type="spellStart"/>
      <w:r w:rsidR="00FF184B" w:rsidRPr="00FF184B">
        <w:rPr>
          <w:color w:val="0D0D0D" w:themeColor="text1" w:themeTint="F2"/>
          <w:sz w:val="28"/>
          <w:lang w:val="uk-UA" w:eastAsia="uk-UA"/>
        </w:rPr>
        <w:t>акта</w:t>
      </w:r>
      <w:proofErr w:type="spellEnd"/>
      <w:r w:rsidR="00FF184B" w:rsidRPr="00FF184B">
        <w:rPr>
          <w:color w:val="0D0D0D" w:themeColor="text1" w:themeTint="F2"/>
          <w:sz w:val="28"/>
          <w:lang w:val="uk-UA" w:eastAsia="uk-UA"/>
        </w:rPr>
        <w:t xml:space="preserve"> сприятиме покращенню доступності лікарських засобів для населення завдяки впровадженню сучасних стандартів у сфері виробництва, імпорту та роздрібної й оптової торгівлі, а також посиленню державного контролю за якістю лікарських засобів.</w:t>
      </w:r>
    </w:p>
    <w:p w:rsidR="00E011CB" w:rsidRPr="00FF184B" w:rsidRDefault="00E011CB" w:rsidP="00486200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  <w:tab w:val="left" w:pos="851"/>
        </w:tabs>
        <w:spacing w:before="100" w:beforeAutospacing="1" w:after="100" w:afterAutospacing="1"/>
        <w:ind w:left="567" w:firstLine="0"/>
        <w:rPr>
          <w:b/>
          <w:color w:val="0D0D0D" w:themeColor="text1" w:themeTint="F2"/>
          <w:sz w:val="28"/>
          <w:lang w:val="uk-UA" w:eastAsia="uk-UA"/>
        </w:rPr>
      </w:pPr>
      <w:r w:rsidRPr="00FF184B">
        <w:rPr>
          <w:b/>
          <w:bCs/>
          <w:color w:val="0D0D0D" w:themeColor="text1" w:themeTint="F2"/>
          <w:sz w:val="28"/>
          <w:lang w:val="uk-UA" w:eastAsia="uk-UA"/>
        </w:rPr>
        <w:t>Узагальнений висновок</w:t>
      </w:r>
    </w:p>
    <w:p w:rsidR="007F3215" w:rsidRDefault="001462FD" w:rsidP="007F321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  <w:proofErr w:type="spellStart"/>
      <w:r w:rsidRPr="00FF184B">
        <w:rPr>
          <w:color w:val="0D0D0D" w:themeColor="text1" w:themeTint="F2"/>
          <w:sz w:val="28"/>
        </w:rPr>
        <w:t>Проєкт</w:t>
      </w:r>
      <w:proofErr w:type="spellEnd"/>
      <w:r w:rsidRPr="00FF184B">
        <w:rPr>
          <w:color w:val="0D0D0D" w:themeColor="text1" w:themeTint="F2"/>
          <w:sz w:val="28"/>
        </w:rPr>
        <w:t xml:space="preserve"> </w:t>
      </w:r>
      <w:proofErr w:type="spellStart"/>
      <w:r w:rsidRPr="00FF184B">
        <w:rPr>
          <w:color w:val="0D0D0D" w:themeColor="text1" w:themeTint="F2"/>
          <w:sz w:val="28"/>
        </w:rPr>
        <w:t>акта</w:t>
      </w:r>
      <w:proofErr w:type="spellEnd"/>
      <w:r w:rsidRPr="00FF184B">
        <w:rPr>
          <w:color w:val="0D0D0D" w:themeColor="text1" w:themeTint="F2"/>
          <w:sz w:val="28"/>
        </w:rPr>
        <w:t xml:space="preserve"> не суперечить міжнародно-правовими зобов’язаннями України у сфері європейської інтеграції, у тому числі праву Європейського Союзу (</w:t>
      </w:r>
      <w:proofErr w:type="spellStart"/>
      <w:r w:rsidRPr="00FF184B">
        <w:rPr>
          <w:color w:val="0D0D0D" w:themeColor="text1" w:themeTint="F2"/>
          <w:sz w:val="28"/>
        </w:rPr>
        <w:t>acquis</w:t>
      </w:r>
      <w:proofErr w:type="spellEnd"/>
      <w:r w:rsidRPr="00FF184B">
        <w:rPr>
          <w:color w:val="0D0D0D" w:themeColor="text1" w:themeTint="F2"/>
          <w:sz w:val="28"/>
        </w:rPr>
        <w:t xml:space="preserve"> ЄС).</w:t>
      </w:r>
    </w:p>
    <w:p w:rsidR="004D7631" w:rsidRDefault="004D7631" w:rsidP="007F321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</w:p>
    <w:p w:rsidR="00117F2F" w:rsidRPr="00117F2F" w:rsidRDefault="00117F2F" w:rsidP="00117F2F">
      <w:pPr>
        <w:jc w:val="both"/>
        <w:rPr>
          <w:b/>
          <w:sz w:val="28"/>
          <w:szCs w:val="28"/>
          <w:lang w:val="uk-UA"/>
        </w:rPr>
      </w:pPr>
      <w:r w:rsidRPr="00117F2F">
        <w:rPr>
          <w:b/>
          <w:sz w:val="28"/>
          <w:szCs w:val="28"/>
          <w:lang w:val="uk-UA"/>
        </w:rPr>
        <w:t xml:space="preserve">Голова ліквідаційної комісії                                                        </w:t>
      </w:r>
      <w:r>
        <w:rPr>
          <w:b/>
          <w:sz w:val="28"/>
          <w:szCs w:val="28"/>
          <w:lang w:val="uk-UA"/>
        </w:rPr>
        <w:t xml:space="preserve">     </w:t>
      </w:r>
      <w:r w:rsidRPr="00117F2F">
        <w:rPr>
          <w:b/>
          <w:sz w:val="28"/>
          <w:szCs w:val="28"/>
          <w:lang w:val="uk-UA"/>
        </w:rPr>
        <w:t xml:space="preserve">   Тарас ПРОНІВ</w:t>
      </w:r>
    </w:p>
    <w:p w:rsidR="00117F2F" w:rsidRDefault="00117F2F" w:rsidP="004D7631">
      <w:pPr>
        <w:jc w:val="both"/>
        <w:rPr>
          <w:rFonts w:eastAsia="Calibri"/>
          <w:color w:val="000000"/>
          <w:sz w:val="28"/>
          <w:szCs w:val="28"/>
          <w:u w:color="000000"/>
          <w:lang w:val="uk-UA"/>
        </w:rPr>
      </w:pPr>
    </w:p>
    <w:p w:rsidR="004D7631" w:rsidRPr="004D7631" w:rsidRDefault="004D7631" w:rsidP="004D7631">
      <w:pPr>
        <w:jc w:val="both"/>
        <w:rPr>
          <w:color w:val="000000"/>
          <w:lang w:val="uk-UA" w:eastAsia="uk-UA"/>
        </w:rPr>
      </w:pPr>
      <w:bookmarkStart w:id="6" w:name="_GoBack"/>
      <w:bookmarkEnd w:id="6"/>
      <w:r w:rsidRPr="004D7631">
        <w:rPr>
          <w:rFonts w:eastAsia="Calibri"/>
          <w:color w:val="000000"/>
          <w:sz w:val="28"/>
          <w:szCs w:val="28"/>
          <w:u w:color="000000"/>
          <w:lang w:val="uk-UA"/>
        </w:rPr>
        <w:t>_____ ___________________ 20</w:t>
      </w:r>
      <w:r w:rsidRPr="004D7631">
        <w:rPr>
          <w:rFonts w:eastAsia="Calibri"/>
          <w:color w:val="000000"/>
          <w:sz w:val="28"/>
          <w:szCs w:val="28"/>
          <w:u w:color="000000"/>
          <w:lang w:val="ru-RU"/>
        </w:rPr>
        <w:t xml:space="preserve">  </w:t>
      </w:r>
      <w:r w:rsidRPr="004D7631">
        <w:rPr>
          <w:rFonts w:eastAsia="Calibri"/>
          <w:color w:val="000000"/>
          <w:sz w:val="28"/>
          <w:szCs w:val="28"/>
          <w:u w:color="000000"/>
          <w:lang w:val="uk-UA"/>
        </w:rPr>
        <w:t xml:space="preserve"> р.</w:t>
      </w:r>
    </w:p>
    <w:p w:rsidR="004D7631" w:rsidRDefault="004D7631" w:rsidP="007F321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</w:p>
    <w:p w:rsidR="00FF184B" w:rsidRPr="00FF184B" w:rsidRDefault="00FF184B" w:rsidP="007F3215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D0D0D" w:themeColor="text1" w:themeTint="F2"/>
          <w:sz w:val="28"/>
        </w:rPr>
      </w:pPr>
    </w:p>
    <w:p w:rsidR="00B90830" w:rsidRPr="004D7631" w:rsidRDefault="00B90830" w:rsidP="007F3215">
      <w:pPr>
        <w:spacing w:after="120"/>
        <w:jc w:val="both"/>
        <w:rPr>
          <w:color w:val="0D0D0D" w:themeColor="text1" w:themeTint="F2"/>
          <w:sz w:val="28"/>
          <w:szCs w:val="28"/>
          <w:lang w:val="ru-RU"/>
        </w:rPr>
      </w:pPr>
      <w:bookmarkStart w:id="7" w:name="n1476"/>
      <w:bookmarkStart w:id="8" w:name="n1477"/>
      <w:bookmarkEnd w:id="7"/>
      <w:bookmarkEnd w:id="8"/>
    </w:p>
    <w:sectPr w:rsidR="00B90830" w:rsidRPr="004D7631" w:rsidSect="00A161BE">
      <w:headerReference w:type="default" r:id="rId7"/>
      <w:pgSz w:w="12240" w:h="15840"/>
      <w:pgMar w:top="1440" w:right="902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ADC" w:rsidRDefault="00CA3ADC" w:rsidP="00AA3280">
      <w:r>
        <w:separator/>
      </w:r>
    </w:p>
  </w:endnote>
  <w:endnote w:type="continuationSeparator" w:id="0">
    <w:p w:rsidR="00CA3ADC" w:rsidRDefault="00CA3ADC" w:rsidP="00AA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ADC" w:rsidRDefault="00CA3ADC" w:rsidP="00AA3280">
      <w:r>
        <w:separator/>
      </w:r>
    </w:p>
  </w:footnote>
  <w:footnote w:type="continuationSeparator" w:id="0">
    <w:p w:rsidR="00CA3ADC" w:rsidRDefault="00CA3ADC" w:rsidP="00AA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211000"/>
      <w:docPartObj>
        <w:docPartGallery w:val="Page Numbers (Top of Page)"/>
        <w:docPartUnique/>
      </w:docPartObj>
    </w:sdtPr>
    <w:sdtEndPr/>
    <w:sdtContent>
      <w:p w:rsidR="00A161BE" w:rsidRDefault="00A161B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F2F" w:rsidRPr="00117F2F">
          <w:rPr>
            <w:noProof/>
            <w:lang w:val="ru-RU"/>
          </w:rPr>
          <w:t>2</w:t>
        </w:r>
        <w:r>
          <w:fldChar w:fldCharType="end"/>
        </w:r>
      </w:p>
    </w:sdtContent>
  </w:sdt>
  <w:p w:rsidR="00A161BE" w:rsidRDefault="00A161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C7CA2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32A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1A2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EC55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A2412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2CE1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3A75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06DA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42AF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75C7D"/>
    <w:multiLevelType w:val="multilevel"/>
    <w:tmpl w:val="D234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3CA2"/>
    <w:multiLevelType w:val="multilevel"/>
    <w:tmpl w:val="8E46B0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F0193"/>
    <w:multiLevelType w:val="multilevel"/>
    <w:tmpl w:val="17428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C170CB"/>
    <w:multiLevelType w:val="multilevel"/>
    <w:tmpl w:val="B4FE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9642C"/>
    <w:multiLevelType w:val="multilevel"/>
    <w:tmpl w:val="8FB47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B29A2"/>
    <w:multiLevelType w:val="multilevel"/>
    <w:tmpl w:val="E468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72516A"/>
    <w:multiLevelType w:val="multilevel"/>
    <w:tmpl w:val="0FE0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C00CA"/>
    <w:multiLevelType w:val="hybridMultilevel"/>
    <w:tmpl w:val="0A7482B4"/>
    <w:lvl w:ilvl="0" w:tplc="DA904E66">
      <w:start w:val="1"/>
      <w:numFmt w:val="decimal"/>
      <w:lvlText w:val="%1."/>
      <w:lvlJc w:val="left"/>
      <w:pPr>
        <w:ind w:left="81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30B44EE"/>
    <w:multiLevelType w:val="multilevel"/>
    <w:tmpl w:val="6636B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AA6BC5"/>
    <w:multiLevelType w:val="multilevel"/>
    <w:tmpl w:val="51E65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F43B7F"/>
    <w:multiLevelType w:val="multilevel"/>
    <w:tmpl w:val="7B9C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F5A"/>
    <w:rsid w:val="000C5567"/>
    <w:rsid w:val="00117F2F"/>
    <w:rsid w:val="001462FD"/>
    <w:rsid w:val="002C1A9E"/>
    <w:rsid w:val="003116BD"/>
    <w:rsid w:val="0039063C"/>
    <w:rsid w:val="00486200"/>
    <w:rsid w:val="004C5346"/>
    <w:rsid w:val="004D7631"/>
    <w:rsid w:val="00532AFA"/>
    <w:rsid w:val="00533478"/>
    <w:rsid w:val="005753D2"/>
    <w:rsid w:val="005C4B6A"/>
    <w:rsid w:val="005C591C"/>
    <w:rsid w:val="00635634"/>
    <w:rsid w:val="00642FB6"/>
    <w:rsid w:val="006A4403"/>
    <w:rsid w:val="006E6DBE"/>
    <w:rsid w:val="007867FD"/>
    <w:rsid w:val="007F3215"/>
    <w:rsid w:val="0084757F"/>
    <w:rsid w:val="008A1715"/>
    <w:rsid w:val="008B0995"/>
    <w:rsid w:val="008F2D0D"/>
    <w:rsid w:val="009623A8"/>
    <w:rsid w:val="00A0485A"/>
    <w:rsid w:val="00A161BE"/>
    <w:rsid w:val="00A3384A"/>
    <w:rsid w:val="00A90F5A"/>
    <w:rsid w:val="00AA3280"/>
    <w:rsid w:val="00B007CA"/>
    <w:rsid w:val="00B01B1D"/>
    <w:rsid w:val="00B90830"/>
    <w:rsid w:val="00C00B7D"/>
    <w:rsid w:val="00CA3ADC"/>
    <w:rsid w:val="00D36657"/>
    <w:rsid w:val="00D702BB"/>
    <w:rsid w:val="00E011CB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FB95"/>
  <w15:docId w15:val="{678EBC10-C2E2-42DD-A984-D2E7264E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character" w:customStyle="1" w:styleId="spanrvts0">
    <w:name w:val="span_rvts0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paragraph" w:customStyle="1" w:styleId="rvps3">
    <w:name w:val="rvps3"/>
    <w:basedOn w:val="a"/>
    <w:pPr>
      <w:jc w:val="center"/>
    </w:p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82">
    <w:name w:val="span_rvts82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spanrvts58">
    <w:name w:val="span_rvts58"/>
    <w:basedOn w:val="a0"/>
    <w:rPr>
      <w:rFonts w:ascii="Times New Roman" w:eastAsia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spanrvts11">
    <w:name w:val="span_rvts11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paragraph" w:customStyle="1" w:styleId="stamp">
    <w:name w:val="stamp"/>
    <w:basedOn w:val="a"/>
  </w:style>
  <w:style w:type="character" w:customStyle="1" w:styleId="rvts15">
    <w:name w:val="rvts15"/>
    <w:basedOn w:val="a0"/>
    <w:rsid w:val="002C1A9E"/>
  </w:style>
  <w:style w:type="character" w:customStyle="1" w:styleId="rvts82">
    <w:name w:val="rvts82"/>
    <w:basedOn w:val="a0"/>
    <w:rsid w:val="002C1A9E"/>
  </w:style>
  <w:style w:type="character" w:customStyle="1" w:styleId="rvts44">
    <w:name w:val="rvts44"/>
    <w:basedOn w:val="a0"/>
    <w:rsid w:val="002C1A9E"/>
  </w:style>
  <w:style w:type="character" w:styleId="a3">
    <w:name w:val="Hyperlink"/>
    <w:basedOn w:val="a0"/>
    <w:uiPriority w:val="99"/>
    <w:semiHidden/>
    <w:unhideWhenUsed/>
    <w:rsid w:val="002C1A9E"/>
    <w:rPr>
      <w:color w:val="0000FF"/>
      <w:u w:val="single"/>
    </w:rPr>
  </w:style>
  <w:style w:type="character" w:customStyle="1" w:styleId="rvts37">
    <w:name w:val="rvts37"/>
    <w:basedOn w:val="a0"/>
    <w:rsid w:val="002C1A9E"/>
  </w:style>
  <w:style w:type="paragraph" w:styleId="a4">
    <w:name w:val="Normal (Web)"/>
    <w:basedOn w:val="a"/>
    <w:uiPriority w:val="99"/>
    <w:unhideWhenUsed/>
    <w:rsid w:val="00B007CA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B007CA"/>
    <w:rPr>
      <w:b/>
      <w:bCs/>
    </w:rPr>
  </w:style>
  <w:style w:type="paragraph" w:customStyle="1" w:styleId="signmoz">
    <w:name w:val="sign_moz"/>
    <w:basedOn w:val="a"/>
    <w:rsid w:val="00E011CB"/>
    <w:pPr>
      <w:spacing w:before="100" w:beforeAutospacing="1" w:after="100" w:afterAutospacing="1"/>
    </w:pPr>
    <w:rPr>
      <w:lang w:val="uk-UA" w:eastAsia="uk-UA"/>
    </w:rPr>
  </w:style>
  <w:style w:type="character" w:styleId="a6">
    <w:name w:val="Emphasis"/>
    <w:basedOn w:val="a0"/>
    <w:uiPriority w:val="20"/>
    <w:qFormat/>
    <w:rsid w:val="00E011CB"/>
    <w:rPr>
      <w:i/>
      <w:iCs/>
    </w:rPr>
  </w:style>
  <w:style w:type="paragraph" w:styleId="a7">
    <w:name w:val="List Paragraph"/>
    <w:basedOn w:val="a"/>
    <w:uiPriority w:val="34"/>
    <w:qFormat/>
    <w:rsid w:val="00D702B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A3280"/>
    <w:pPr>
      <w:tabs>
        <w:tab w:val="center" w:pos="4513"/>
        <w:tab w:val="right" w:pos="902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3280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A3280"/>
    <w:pPr>
      <w:tabs>
        <w:tab w:val="center" w:pos="4513"/>
        <w:tab w:val="right" w:pos="902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32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19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5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2171</Words>
  <Characters>1238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затвердження методик проведення аналізу впливу та відстеження результативності регуляторного акта | від 11.03.2004 № 308</vt:lpstr>
      <vt:lpstr>Про затвердження методик проведення аналізу впливу та відстеження результативності регуляторного акта | від 11.03.2004 № 308</vt:lpstr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методик проведення аналізу впливу та відстеження результативності регуляторного акта | від 11.03.2004 № 308</dc:title>
  <dc:creator>Bohdan</dc:creator>
  <cp:lastModifiedBy>Долговський Андрій Володимирович</cp:lastModifiedBy>
  <cp:revision>13</cp:revision>
  <dcterms:created xsi:type="dcterms:W3CDTF">2025-03-18T09:56:00Z</dcterms:created>
  <dcterms:modified xsi:type="dcterms:W3CDTF">2026-08-04T02:02:00Z</dcterms:modified>
</cp:coreProperties>
</file>