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83" w:rsidRPr="00201B3E" w:rsidRDefault="00AD6019" w:rsidP="00277BED">
      <w:pPr>
        <w:spacing w:after="0" w:line="240" w:lineRule="auto"/>
        <w:jc w:val="center"/>
        <w:rPr>
          <w:b/>
          <w:lang w:val="ru-RU"/>
        </w:rPr>
      </w:pPr>
      <w:r w:rsidRPr="00201B3E">
        <w:rPr>
          <w:b/>
          <w:lang w:val="ru-RU"/>
        </w:rPr>
        <w:t>АНАЛІЗ РЕГУЛЯТОРНОГО ВПЛИВУ</w:t>
      </w:r>
    </w:p>
    <w:p w:rsidR="00603083" w:rsidRPr="00201B3E" w:rsidRDefault="00AD6019" w:rsidP="00277BED">
      <w:pPr>
        <w:spacing w:after="0" w:line="240" w:lineRule="auto"/>
        <w:jc w:val="center"/>
        <w:rPr>
          <w:b/>
          <w:lang w:val="ru-RU"/>
        </w:rPr>
      </w:pPr>
      <w:r w:rsidRPr="00201B3E">
        <w:rPr>
          <w:b/>
          <w:lang w:val="ru-RU"/>
        </w:rPr>
        <w:t>до проєкту постанови Кабінету Міністрів України</w:t>
      </w:r>
    </w:p>
    <w:p w:rsidR="00603083" w:rsidRPr="00201B3E" w:rsidRDefault="00AD6019" w:rsidP="00277BED">
      <w:pPr>
        <w:spacing w:after="0" w:line="240" w:lineRule="auto"/>
        <w:jc w:val="center"/>
        <w:rPr>
          <w:b/>
          <w:lang w:val="ru-RU"/>
        </w:rPr>
      </w:pPr>
      <w:r w:rsidRPr="00201B3E">
        <w:rPr>
          <w:b/>
          <w:lang w:val="ru-RU"/>
        </w:rPr>
        <w:t>«Про затвердження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інгредієнтів)»</w:t>
      </w:r>
    </w:p>
    <w:p w:rsidR="00603083" w:rsidRPr="00201B3E" w:rsidRDefault="00AD6019" w:rsidP="00983D00">
      <w:pPr>
        <w:spacing w:after="0" w:line="240" w:lineRule="auto"/>
        <w:ind w:firstLine="720"/>
        <w:jc w:val="both"/>
        <w:rPr>
          <w:b/>
          <w:lang w:val="ru-RU"/>
        </w:rPr>
      </w:pPr>
      <w:r w:rsidRPr="00F16E0E">
        <w:rPr>
          <w:b/>
        </w:rPr>
        <w:t>I</w:t>
      </w:r>
      <w:r w:rsidRPr="00201B3E">
        <w:rPr>
          <w:b/>
          <w:lang w:val="ru-RU"/>
        </w:rPr>
        <w:t>. Визначення проблеми</w:t>
      </w:r>
    </w:p>
    <w:p w:rsidR="00603083" w:rsidRPr="00201B3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201B3E">
        <w:rPr>
          <w:lang w:val="ru-RU"/>
        </w:rPr>
        <w:t xml:space="preserve">Проєкт регуляторного акта розроблено у зв’язку з необхідністю нормативного забезпечення реалізації Закону України від 28 липня 2022 року </w:t>
      </w:r>
      <w:r w:rsidR="002E524D" w:rsidRPr="00201B3E">
        <w:rPr>
          <w:lang w:val="ru-RU"/>
        </w:rPr>
        <w:br/>
      </w:r>
      <w:r w:rsidRPr="00201B3E">
        <w:rPr>
          <w:lang w:val="ru-RU"/>
        </w:rPr>
        <w:t>№ 2469-</w:t>
      </w:r>
      <w:r w:rsidRPr="00277BED">
        <w:t>IX</w:t>
      </w:r>
      <w:r w:rsidRPr="00201B3E">
        <w:rPr>
          <w:lang w:val="ru-RU"/>
        </w:rPr>
        <w:t xml:space="preserve"> «Про лікарські засоби» та приведення підзаконного регулювання ліцензування у відповідність із новою законодавчою моделлю обігу лікарських засобів, Законом України «Про ліцензування видів господарської діяльності» і Законом України «Про адміністративну процедуру».</w:t>
      </w:r>
    </w:p>
    <w:p w:rsidR="00603083" w:rsidRPr="00201B3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201B3E">
        <w:rPr>
          <w:lang w:val="ru-RU"/>
        </w:rPr>
        <w:t>Одним із напрямів державної політики, закріплених Законом № 2469-</w:t>
      </w:r>
      <w:r w:rsidRPr="00277BED">
        <w:t>IX</w:t>
      </w:r>
      <w:r w:rsidRPr="00201B3E">
        <w:rPr>
          <w:lang w:val="ru-RU"/>
        </w:rPr>
        <w:t>, є інтеграція України до ринку лікарських засобів Європейського Союзу та адаптація законодавства України до нормативно-правових актів Європейського Союзу. Відповідно нові Ліцензійні умови є складовою практичної реалізації євроінтеграційної моделі регулювання у сфері виробництва, імпорту, оптової та роздрібної торгівлі лікарськими засобами.</w:t>
      </w:r>
    </w:p>
    <w:p w:rsidR="00603083" w:rsidRPr="009B7FD5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201B3E">
        <w:rPr>
          <w:lang w:val="ru-RU"/>
        </w:rPr>
        <w:t>Чинні Ліцензійні умови</w:t>
      </w:r>
      <w:r w:rsidR="00201B3E">
        <w:rPr>
          <w:lang w:val="uk-UA"/>
        </w:rPr>
        <w:t xml:space="preserve"> </w:t>
      </w:r>
      <w:r w:rsidR="00201B3E" w:rsidRPr="00201B3E">
        <w:rPr>
          <w:lang w:val="uk-UA"/>
        </w:rPr>
        <w:t>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Pr="00201B3E">
        <w:rPr>
          <w:lang w:val="ru-RU"/>
        </w:rPr>
        <w:t xml:space="preserve">, затверджені постановою Кабінету Міністрів України від 30 листопада 2016 р. № 929, сформовані в межах попередньої законодавчої моделі. </w:t>
      </w:r>
      <w:r w:rsidRPr="009B7FD5">
        <w:rPr>
          <w:lang w:val="ru-RU"/>
        </w:rPr>
        <w:t>Пояснювальною запискою до проєкту акта зазначено, що їх норми значною мірою не узгоджуються з положеннями Закону № 2469-</w:t>
      </w:r>
      <w:r w:rsidRPr="00277BED">
        <w:t>IX</w:t>
      </w:r>
      <w:r w:rsidRPr="009B7FD5">
        <w:rPr>
          <w:lang w:val="ru-RU"/>
        </w:rPr>
        <w:t>, у зв’язку з чим чинне підзаконне регулювання підлягає заміні новими Ліцензійними умовами.</w:t>
      </w:r>
    </w:p>
    <w:p w:rsidR="00603083" w:rsidRPr="009B7FD5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9B7FD5">
        <w:rPr>
          <w:lang w:val="ru-RU"/>
        </w:rPr>
        <w:t xml:space="preserve">Проєкт встановлює вичерпний перелік вимог, обов’язкових для виконання ліцензіатами, та вичерпний перелік документів, що додаються до заяв про отримання ліцензії. Він охоплює промислове виробництво лікарських засобів, імпорт лікарських засобів, оптову і роздрібну торгівлю, а також </w:t>
      </w:r>
      <w:r w:rsidR="002E524D" w:rsidRPr="009B7FD5">
        <w:rPr>
          <w:lang w:val="ru-RU"/>
        </w:rPr>
        <w:t>виготовлення (виробництво)</w:t>
      </w:r>
      <w:r w:rsidRPr="009B7FD5">
        <w:rPr>
          <w:lang w:val="ru-RU"/>
        </w:rPr>
        <w:t xml:space="preserve"> лікарських засобів в умовах аптеки.</w:t>
      </w:r>
    </w:p>
    <w:p w:rsidR="00603083" w:rsidRPr="009B7FD5" w:rsidRDefault="00AD6019" w:rsidP="00F16E0E">
      <w:pPr>
        <w:spacing w:after="0" w:line="240" w:lineRule="auto"/>
        <w:jc w:val="both"/>
        <w:rPr>
          <w:lang w:val="ru-RU"/>
        </w:rPr>
      </w:pPr>
      <w:r w:rsidRPr="009B7FD5">
        <w:rPr>
          <w:lang w:val="ru-RU"/>
        </w:rPr>
        <w:t>Проєктом передбачено оновлені вимоги щодо фармацевтичної системи якості, організаційно-правових документів ліцензіатів, уповноважених та відповідальних осіб, матеріально-технічної бази, кваліфікації персоналу, а також дотримання вимог належної виробничої (</w:t>
      </w:r>
      <w:r w:rsidRPr="00277BED">
        <w:t>GMP</w:t>
      </w:r>
      <w:r w:rsidRPr="009B7FD5">
        <w:rPr>
          <w:lang w:val="ru-RU"/>
        </w:rPr>
        <w:t>), дистриб’юторської (</w:t>
      </w:r>
      <w:r w:rsidRPr="00277BED">
        <w:t>GDP</w:t>
      </w:r>
      <w:r w:rsidRPr="009B7FD5">
        <w:rPr>
          <w:lang w:val="ru-RU"/>
        </w:rPr>
        <w:t>) та аптечної (</w:t>
      </w:r>
      <w:r w:rsidRPr="00277BED">
        <w:t>GPP</w:t>
      </w:r>
      <w:r w:rsidRPr="009B7FD5">
        <w:rPr>
          <w:lang w:val="ru-RU"/>
        </w:rPr>
        <w:t>) практик, гармонізованих із законодавством Європейського Союзу та міжнародними стандартами.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Відсутність нового підзаконного регулювання з моменту введення в дію Закону № 2469-</w:t>
      </w:r>
      <w:r w:rsidRPr="00277BED">
        <w:t>IX</w:t>
      </w:r>
      <w:r w:rsidRPr="00F16E0E">
        <w:rPr>
          <w:lang w:val="ru-RU"/>
        </w:rPr>
        <w:t xml:space="preserve"> створює ризик правової невизначеності для здобувачів ліцензій, чинних ліцензіатів і органу ліцензування, неоднакового застосування вимог, </w:t>
      </w:r>
      <w:r w:rsidRPr="00F16E0E">
        <w:rPr>
          <w:lang w:val="ru-RU"/>
        </w:rPr>
        <w:lastRenderedPageBreak/>
        <w:t>ускладнення ліцензійних процедур та неможливості повною мірою реалізувати положення нового Закону.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Актуальна кількість ліцензіатів за видами господарської діяльності становить: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1"/>
        <w:gridCol w:w="2268"/>
      </w:tblGrid>
      <w:tr w:rsidR="00603083" w:rsidRPr="00277BED" w:rsidTr="00F16E0E">
        <w:trPr>
          <w:cantSplit/>
          <w:tblHeader/>
          <w:jc w:val="center"/>
        </w:trPr>
        <w:tc>
          <w:tcPr>
            <w:tcW w:w="782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Вид господарської діяльності</w:t>
            </w:r>
          </w:p>
        </w:tc>
        <w:tc>
          <w:tcPr>
            <w:tcW w:w="22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Кількість ліцензіатів, од.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Промислове виробництво лікарських засобів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104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Імпорт лікарських засобів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199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Оптова торгівля лікарськими засобами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359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Роздрібна торгівля лікарськими засобами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3 996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E524D" w:rsidRDefault="002E524D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E524D">
              <w:rPr>
                <w:lang w:val="ru-RU"/>
              </w:rPr>
              <w:t>Виготовлення (виробництво)</w:t>
            </w:r>
            <w:r w:rsidR="00AD6019" w:rsidRPr="002E524D">
              <w:rPr>
                <w:lang w:val="ru-RU"/>
              </w:rPr>
              <w:t xml:space="preserve"> лікарських засобів в умовах аптеки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160</w:t>
            </w:r>
          </w:p>
        </w:tc>
      </w:tr>
      <w:tr w:rsidR="00603083" w:rsidRPr="00277BED" w:rsidTr="00F16E0E">
        <w:trPr>
          <w:cantSplit/>
          <w:jc w:val="center"/>
        </w:trPr>
        <w:tc>
          <w:tcPr>
            <w:tcW w:w="78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Разом за видами діяльності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4 818</w:t>
            </w:r>
          </w:p>
        </w:tc>
      </w:tr>
    </w:tbl>
    <w:p w:rsidR="00603083" w:rsidRPr="009B7FD5" w:rsidRDefault="00AD6019" w:rsidP="00F16E0E">
      <w:pPr>
        <w:spacing w:after="0" w:line="240" w:lineRule="auto"/>
        <w:jc w:val="both"/>
        <w:rPr>
          <w:i/>
          <w:lang w:val="ru-RU"/>
        </w:rPr>
      </w:pPr>
      <w:r w:rsidRPr="00201B3E">
        <w:rPr>
          <w:i/>
          <w:lang w:val="ru-RU"/>
        </w:rPr>
        <w:t xml:space="preserve">Примітка. Показник 4 818 є сумою кількості ліцензіатів за видами діяльності. </w:t>
      </w:r>
      <w:r w:rsidRPr="009B7FD5">
        <w:rPr>
          <w:i/>
          <w:lang w:val="ru-RU"/>
        </w:rPr>
        <w:t>Один суб’єкт господарювання може одночасно мати право на провадження кількох видів діяльності, тому цей показник використовується в АРВ як розрахункова база і не ототожнюється з кількістю унікальних юридичних осіб/фізичних осіб - підприємців.</w:t>
      </w:r>
    </w:p>
    <w:p w:rsidR="00603083" w:rsidRPr="009B7FD5" w:rsidRDefault="00AD6019" w:rsidP="00201B3E">
      <w:pPr>
        <w:spacing w:after="0" w:line="240" w:lineRule="auto"/>
        <w:ind w:firstLine="720"/>
        <w:jc w:val="both"/>
        <w:rPr>
          <w:lang w:val="ru-RU"/>
        </w:rPr>
      </w:pPr>
      <w:r w:rsidRPr="009B7FD5">
        <w:rPr>
          <w:lang w:val="ru-RU"/>
        </w:rPr>
        <w:t>За відсутності актуальної офіційної статистики щодо розподілу ліцензіатів за критеріями великого, середнього, малого та мікропідприємництва для цілей АРВ застосовано оціночний розрахунок на основі структури суб’єктів господарювання, використаної в АРВ Держлікслужби від 14 лютого 2025 року, із застосуванням відповідних часток до актуальної розрахункової бази 4</w:t>
      </w:r>
      <w:r w:rsidR="00201B3E">
        <w:t> </w:t>
      </w:r>
      <w:r w:rsidRPr="009B7FD5">
        <w:rPr>
          <w:lang w:val="ru-RU"/>
        </w:rPr>
        <w:t>818.</w:t>
      </w:r>
    </w:p>
    <w:p w:rsidR="00201B3E" w:rsidRPr="009B7FD5" w:rsidRDefault="00201B3E" w:rsidP="00201B3E">
      <w:pPr>
        <w:spacing w:after="0" w:line="240" w:lineRule="auto"/>
        <w:ind w:firstLine="720"/>
        <w:jc w:val="both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1134"/>
        <w:gridCol w:w="1148"/>
        <w:gridCol w:w="1134"/>
        <w:gridCol w:w="1134"/>
        <w:gridCol w:w="1417"/>
      </w:tblGrid>
      <w:tr w:rsidR="00603083" w:rsidRPr="00277BED" w:rsidTr="00F16E0E">
        <w:trPr>
          <w:cantSplit/>
          <w:tblHeader/>
          <w:jc w:val="center"/>
        </w:trPr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Показник</w:t>
            </w:r>
          </w:p>
        </w:tc>
        <w:tc>
          <w:tcPr>
            <w:tcW w:w="113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Великі</w:t>
            </w:r>
          </w:p>
        </w:tc>
        <w:tc>
          <w:tcPr>
            <w:tcW w:w="113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Середні</w:t>
            </w:r>
          </w:p>
        </w:tc>
        <w:tc>
          <w:tcPr>
            <w:tcW w:w="113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Малі</w:t>
            </w:r>
          </w:p>
        </w:tc>
        <w:tc>
          <w:tcPr>
            <w:tcW w:w="113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Мікро</w:t>
            </w:r>
          </w:p>
        </w:tc>
        <w:tc>
          <w:tcPr>
            <w:tcW w:w="141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Разом</w:t>
            </w:r>
          </w:p>
        </w:tc>
      </w:tr>
      <w:tr w:rsidR="00603083" w:rsidRPr="00277BED" w:rsidTr="00F16E0E">
        <w:trPr>
          <w:cantSplit/>
          <w:trHeight w:val="629"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Кількість суб’єктів (розрахункова), од.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103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537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1 965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2 213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4 818</w:t>
            </w:r>
          </w:p>
        </w:tc>
      </w:tr>
      <w:tr w:rsidR="00603083" w:rsidRPr="00277BED" w:rsidTr="00F16E0E">
        <w:trPr>
          <w:cantSplit/>
          <w:trHeight w:val="404"/>
          <w:jc w:val="center"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Питома вага, %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2,14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11,15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40,79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45,92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100,00</w:t>
            </w:r>
          </w:p>
        </w:tc>
      </w:tr>
    </w:tbl>
    <w:p w:rsidR="00603083" w:rsidRPr="00201B3E" w:rsidRDefault="00AD6019" w:rsidP="00F16E0E">
      <w:pPr>
        <w:spacing w:after="0" w:line="240" w:lineRule="auto"/>
        <w:jc w:val="both"/>
        <w:rPr>
          <w:lang w:val="ru-RU"/>
        </w:rPr>
      </w:pPr>
      <w:r w:rsidRPr="00F16E0E">
        <w:rPr>
          <w:lang w:val="ru-RU"/>
        </w:rPr>
        <w:t xml:space="preserve">Кількість суб’єктів малого та мікропідприємництва становить розрахунково 4 178 одиниць, або 86,72 відсотка. </w:t>
      </w:r>
      <w:r w:rsidRPr="00201B3E">
        <w:rPr>
          <w:lang w:val="ru-RU"/>
        </w:rPr>
        <w:t>У зв’язку з перевищенням 10-відсоткової частки малого підприємництва проведено Тест малого підприємництва (М-Тест).</w:t>
      </w:r>
    </w:p>
    <w:p w:rsidR="00201B3E" w:rsidRDefault="00201B3E" w:rsidP="00277BED">
      <w:pPr>
        <w:jc w:val="both"/>
        <w:rPr>
          <w:b/>
          <w:lang w:val="ru-RU"/>
        </w:rPr>
      </w:pPr>
    </w:p>
    <w:p w:rsidR="00603083" w:rsidRPr="00201B3E" w:rsidRDefault="00AD6019" w:rsidP="00277BED">
      <w:pPr>
        <w:jc w:val="both"/>
        <w:rPr>
          <w:b/>
          <w:lang w:val="ru-RU"/>
        </w:rPr>
      </w:pPr>
      <w:r w:rsidRPr="00201B3E">
        <w:rPr>
          <w:b/>
          <w:lang w:val="ru-RU"/>
        </w:rPr>
        <w:t>Основні групи (підгрупи), на які проблема справляє вплив: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649"/>
        <w:gridCol w:w="567"/>
        <w:gridCol w:w="5669"/>
      </w:tblGrid>
      <w:tr w:rsidR="00603083" w:rsidRPr="00277BED" w:rsidTr="00F16E0E">
        <w:trPr>
          <w:cantSplit/>
          <w:tblHeader/>
          <w:jc w:val="center"/>
        </w:trPr>
        <w:tc>
          <w:tcPr>
            <w:tcW w:w="311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Групи (підгрупи)</w:t>
            </w:r>
          </w:p>
        </w:tc>
        <w:tc>
          <w:tcPr>
            <w:tcW w:w="56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Так</w:t>
            </w:r>
          </w:p>
        </w:tc>
        <w:tc>
          <w:tcPr>
            <w:tcW w:w="56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Ні</w:t>
            </w:r>
          </w:p>
        </w:tc>
        <w:tc>
          <w:tcPr>
            <w:tcW w:w="56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Характер впливу</w:t>
            </w:r>
          </w:p>
        </w:tc>
      </w:tr>
      <w:tr w:rsidR="00603083" w:rsidRPr="005475E1">
        <w:trPr>
          <w:cantSplit/>
          <w:jc w:val="center"/>
        </w:trPr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Громадяни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+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603083" w:rsidP="00201B3E">
            <w:pPr>
              <w:spacing w:after="0" w:line="240" w:lineRule="auto"/>
              <w:jc w:val="both"/>
            </w:pP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Опосередкований вплив через якість, безпечність, доступність та безперервність обігу лікарських засобів.</w:t>
            </w:r>
          </w:p>
        </w:tc>
      </w:tr>
      <w:tr w:rsidR="00603083" w:rsidRPr="00277BED">
        <w:trPr>
          <w:cantSplit/>
          <w:jc w:val="center"/>
        </w:trPr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Держава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+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603083" w:rsidP="00201B3E">
            <w:pPr>
              <w:spacing w:after="0" w:line="240" w:lineRule="auto"/>
              <w:jc w:val="both"/>
            </w:pP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Необхідність реалізації Закону № 2469-IX, євроінтеграційних зобов’язань та належного функціонування системи ліцензування і державного контролю.</w:t>
            </w:r>
          </w:p>
        </w:tc>
      </w:tr>
      <w:tr w:rsidR="00603083" w:rsidRPr="005475E1">
        <w:trPr>
          <w:cantSplit/>
          <w:jc w:val="center"/>
        </w:trPr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Суб’єкти господарювання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+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603083" w:rsidP="00201B3E">
            <w:pPr>
              <w:spacing w:after="0" w:line="240" w:lineRule="auto"/>
              <w:jc w:val="both"/>
            </w:pP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Безпосередній вплив через встановлення обов’язкових ліцензійних, організаційних, кадрових, документарних та процедурних вимог.</w:t>
            </w:r>
          </w:p>
        </w:tc>
      </w:tr>
      <w:tr w:rsidR="00603083" w:rsidRPr="005475E1" w:rsidTr="00F16E0E">
        <w:trPr>
          <w:cantSplit/>
          <w:trHeight w:val="693"/>
          <w:jc w:val="center"/>
        </w:trPr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F16E0E">
              <w:rPr>
                <w:lang w:val="ru-RU"/>
              </w:rPr>
              <w:t>у тому числі суб’єкти малого підприємництва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+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603083" w:rsidP="00201B3E">
            <w:pPr>
              <w:spacing w:after="0" w:line="240" w:lineRule="auto"/>
              <w:jc w:val="both"/>
            </w:pP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Розрахункова частка малих і мікросуб’єктів становить 86,72 %.</w:t>
            </w:r>
          </w:p>
        </w:tc>
      </w:tr>
    </w:tbl>
    <w:p w:rsidR="00603083" w:rsidRPr="00201B3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 xml:space="preserve">Проблема не може бути розв’язана за допомогою ринкових механізмів, оскільки ліцензування визначених видів господарської діяльності є встановленим законом інструментом державного регулювання, а перелік обов’язкових вимог і документів має бути визначений нормативно-правовим актом. </w:t>
      </w:r>
      <w:r w:rsidRPr="00201B3E">
        <w:rPr>
          <w:lang w:val="ru-RU"/>
        </w:rPr>
        <w:t>Вона також не може бути повністю розв’язана лише за допомогою чинних регуляторних актів, оскільки чинні Ліцензійні умови № 929 не забезпечують системної реалізації нового Закону № 2469-</w:t>
      </w:r>
      <w:r w:rsidRPr="00277BED">
        <w:t>IX</w:t>
      </w:r>
      <w:r w:rsidRPr="00201B3E">
        <w:rPr>
          <w:lang w:val="ru-RU"/>
        </w:rPr>
        <w:t>.</w:t>
      </w:r>
    </w:p>
    <w:p w:rsidR="00201B3E" w:rsidRPr="009B7FD5" w:rsidRDefault="00201B3E" w:rsidP="00F16E0E">
      <w:pPr>
        <w:ind w:firstLine="720"/>
        <w:jc w:val="both"/>
        <w:rPr>
          <w:b/>
          <w:lang w:val="ru-RU"/>
        </w:rPr>
      </w:pPr>
    </w:p>
    <w:p w:rsidR="00603083" w:rsidRPr="00201B3E" w:rsidRDefault="00AD6019" w:rsidP="00F16E0E">
      <w:pPr>
        <w:ind w:firstLine="720"/>
        <w:jc w:val="both"/>
        <w:rPr>
          <w:b/>
          <w:lang w:val="ru-RU"/>
        </w:rPr>
      </w:pPr>
      <w:r w:rsidRPr="00F16E0E">
        <w:rPr>
          <w:b/>
        </w:rPr>
        <w:t>II</w:t>
      </w:r>
      <w:r w:rsidRPr="00201B3E">
        <w:rPr>
          <w:b/>
          <w:lang w:val="ru-RU"/>
        </w:rPr>
        <w:t>. Цілі державного регулювання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uk-UA"/>
        </w:rPr>
      </w:pPr>
      <w:r w:rsidRPr="00201B3E">
        <w:rPr>
          <w:lang w:val="ru-RU"/>
        </w:rPr>
        <w:t>Основною ціллю державного регулювання є створення цілісного, прозорого і передбачуваного механізму ліцензування у сфері обігу лікарських засобів, узгодженого із Законом № 2469-</w:t>
      </w:r>
      <w:r w:rsidRPr="00277BED">
        <w:t>IX</w:t>
      </w:r>
      <w:r w:rsidRPr="00201B3E">
        <w:rPr>
          <w:lang w:val="ru-RU"/>
        </w:rPr>
        <w:t xml:space="preserve"> та підходами Європейського Союзу, із забезпеченням належного рівня захисту здоров’я населення та правової визначенос</w:t>
      </w:r>
      <w:r w:rsidR="00F16E0E" w:rsidRPr="00201B3E">
        <w:rPr>
          <w:lang w:val="ru-RU"/>
        </w:rPr>
        <w:t>ті для суб’єктів господарювання</w:t>
      </w:r>
      <w:r w:rsidR="00F16E0E">
        <w:rPr>
          <w:lang w:val="uk-UA"/>
        </w:rPr>
        <w:t>: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приведення процедур ліцензування та вимог до ліцензіатів у відповідність із Законом № 2469-</w:t>
      </w:r>
      <w:r w:rsidRPr="00277BED">
        <w:t>IX</w:t>
      </w:r>
      <w:r w:rsidRPr="00F16E0E">
        <w:rPr>
          <w:lang w:val="ru-RU"/>
        </w:rPr>
        <w:t>, законодавством про ліцензування та адміністративну процедуру;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подальша гармонізація регуляторного середовища у сфері лікарських засобів із правом Європейського Союзу, у тому числі підходами Директиви 2001/83/ЄС;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встановлення вичерпного та зрозумілого переліку документів і відомостей, що подаються до органу ліцензування;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 xml:space="preserve">забезпечення належного функціонування фармацевтичних систем якості та виконання вимог </w:t>
      </w:r>
      <w:r w:rsidRPr="00277BED">
        <w:t>GMP</w:t>
      </w:r>
      <w:r w:rsidRPr="00F16E0E">
        <w:rPr>
          <w:lang w:val="ru-RU"/>
        </w:rPr>
        <w:t xml:space="preserve">, </w:t>
      </w:r>
      <w:r w:rsidRPr="00277BED">
        <w:t>GDP</w:t>
      </w:r>
      <w:r w:rsidRPr="00F16E0E">
        <w:rPr>
          <w:lang w:val="ru-RU"/>
        </w:rPr>
        <w:t xml:space="preserve"> і </w:t>
      </w:r>
      <w:r w:rsidRPr="00277BED">
        <w:t>GPP</w:t>
      </w:r>
      <w:r w:rsidRPr="00F16E0E">
        <w:rPr>
          <w:lang w:val="ru-RU"/>
        </w:rPr>
        <w:t xml:space="preserve"> у межах, установлених законом;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lastRenderedPageBreak/>
        <w:t>уніфікація організаційних, кадрових, технологічних і процедурних вимог до виробництва, імпорту, оптової та роздрібної торгівлі;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забезпечення правової визначеності під час передліцензійних перевірок та прийняття адміністративних рішень;</w:t>
      </w:r>
    </w:p>
    <w:p w:rsidR="00603083" w:rsidRPr="00F16E0E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поетапна адаптація чинних ліцензіатів до нових вимог через встановлені проєктом перехідні строки;</w:t>
      </w:r>
    </w:p>
    <w:p w:rsidR="00603083" w:rsidRDefault="00AD6019" w:rsidP="00F16E0E">
      <w:pPr>
        <w:spacing w:after="0" w:line="240" w:lineRule="auto"/>
        <w:ind w:firstLine="720"/>
        <w:jc w:val="both"/>
        <w:rPr>
          <w:lang w:val="ru-RU"/>
        </w:rPr>
      </w:pPr>
      <w:r w:rsidRPr="00F16E0E">
        <w:rPr>
          <w:lang w:val="ru-RU"/>
        </w:rPr>
        <w:t>забезпечення стабільності постачання і доступності лікарських засобів в умовах воєнного стану.</w:t>
      </w:r>
    </w:p>
    <w:p w:rsidR="00201B3E" w:rsidRPr="00F16E0E" w:rsidRDefault="00201B3E" w:rsidP="00F16E0E">
      <w:pPr>
        <w:spacing w:after="0" w:line="240" w:lineRule="auto"/>
        <w:ind w:firstLine="720"/>
        <w:jc w:val="both"/>
        <w:rPr>
          <w:lang w:val="ru-RU"/>
        </w:rPr>
      </w:pPr>
    </w:p>
    <w:p w:rsidR="00603083" w:rsidRDefault="00AD6019" w:rsidP="00F16E0E">
      <w:pPr>
        <w:spacing w:after="0" w:line="240" w:lineRule="auto"/>
        <w:ind w:firstLine="720"/>
        <w:jc w:val="both"/>
        <w:rPr>
          <w:b/>
          <w:lang w:val="ru-RU"/>
        </w:rPr>
      </w:pPr>
      <w:r w:rsidRPr="00F16E0E">
        <w:rPr>
          <w:b/>
        </w:rPr>
        <w:t>III</w:t>
      </w:r>
      <w:r w:rsidRPr="00F16E0E">
        <w:rPr>
          <w:b/>
          <w:lang w:val="ru-RU"/>
        </w:rPr>
        <w:t>. Визначення та оцінка альтернативних способів досягнення цілей</w:t>
      </w:r>
    </w:p>
    <w:p w:rsidR="00201B3E" w:rsidRPr="00F16E0E" w:rsidRDefault="00201B3E" w:rsidP="00F16E0E">
      <w:pPr>
        <w:spacing w:after="0" w:line="240" w:lineRule="auto"/>
        <w:ind w:firstLine="720"/>
        <w:jc w:val="both"/>
        <w:rPr>
          <w:b/>
          <w:lang w:val="ru-RU"/>
        </w:rPr>
      </w:pPr>
    </w:p>
    <w:p w:rsidR="00603083" w:rsidRPr="00F16E0E" w:rsidRDefault="00AD6019" w:rsidP="00F16E0E">
      <w:pPr>
        <w:spacing w:after="0" w:line="240" w:lineRule="auto"/>
        <w:jc w:val="both"/>
        <w:rPr>
          <w:b/>
        </w:rPr>
      </w:pPr>
      <w:r w:rsidRPr="00F16E0E">
        <w:rPr>
          <w:b/>
        </w:rPr>
        <w:t>1. Визначення альтернативних способів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6236"/>
      </w:tblGrid>
      <w:tr w:rsidR="00603083" w:rsidRPr="00277BED" w:rsidTr="005475E1">
        <w:trPr>
          <w:cantSplit/>
          <w:tblHeader/>
          <w:jc w:val="center"/>
        </w:trPr>
        <w:tc>
          <w:tcPr>
            <w:tcW w:w="340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5475E1" w:rsidRDefault="00AD6019" w:rsidP="00201B3E">
            <w:pPr>
              <w:spacing w:after="0" w:line="240" w:lineRule="auto"/>
              <w:jc w:val="both"/>
              <w:rPr>
                <w:b/>
              </w:rPr>
            </w:pPr>
            <w:bookmarkStart w:id="0" w:name="_GoBack" w:colFirst="0" w:colLast="1"/>
            <w:r w:rsidRPr="005475E1">
              <w:rPr>
                <w:b/>
              </w:rPr>
              <w:t>Вид альтернативи</w:t>
            </w:r>
          </w:p>
        </w:tc>
        <w:tc>
          <w:tcPr>
            <w:tcW w:w="6236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5475E1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5475E1">
              <w:rPr>
                <w:b/>
              </w:rPr>
              <w:t>Опис альтернативи</w:t>
            </w:r>
          </w:p>
        </w:tc>
      </w:tr>
      <w:bookmarkEnd w:id="0"/>
      <w:tr w:rsidR="00603083" w:rsidRPr="00277BED">
        <w:trPr>
          <w:cantSplit/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1. Збереження чинного регулювання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Збереження постанови Кабінету Міністрів України від 30.11.2016 № 929 без системної заміни Ліцензійних умов після введення в дію Закону № 2469-IX.</w:t>
            </w:r>
          </w:p>
        </w:tc>
      </w:tr>
      <w:tr w:rsidR="00603083" w:rsidRPr="005475E1">
        <w:trPr>
          <w:cantSplit/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Альтернатива 2. Фрагментарне внесення численних змін до чинних Ліцензійних умов № 929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Часткове пристосування чинного акта до нового Закону шляхом великої кількості точкових змін і доповнень.</w:t>
            </w:r>
          </w:p>
        </w:tc>
      </w:tr>
      <w:tr w:rsidR="00603083" w:rsidRPr="005475E1">
        <w:trPr>
          <w:cantSplit/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Альтернатива 3. Прийняття проєкту постанови та затвердження нових Ліцензійних умов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Комплексне нормативне врегулювання всіх ліцензованих видів діяльності в одному системному акті, узгодженому із Законом № 2469-</w:t>
            </w:r>
            <w:r w:rsidRPr="00277BED">
              <w:t>IX</w:t>
            </w:r>
            <w:r w:rsidRPr="00201B3E">
              <w:rPr>
                <w:lang w:val="ru-RU"/>
              </w:rPr>
              <w:t xml:space="preserve"> та правом ЄС.</w:t>
            </w:r>
          </w:p>
        </w:tc>
      </w:tr>
    </w:tbl>
    <w:p w:rsidR="00603083" w:rsidRDefault="00AD6019" w:rsidP="00201B3E">
      <w:pPr>
        <w:tabs>
          <w:tab w:val="left" w:pos="7224"/>
        </w:tabs>
        <w:spacing w:after="0" w:line="240" w:lineRule="auto"/>
        <w:jc w:val="both"/>
        <w:rPr>
          <w:b/>
          <w:lang w:val="ru-RU"/>
        </w:rPr>
      </w:pPr>
      <w:r w:rsidRPr="00201B3E">
        <w:rPr>
          <w:b/>
          <w:lang w:val="ru-RU"/>
        </w:rPr>
        <w:t>2. Оцінка альтернативних способів досягнення цілей</w:t>
      </w:r>
    </w:p>
    <w:p w:rsidR="00201B3E" w:rsidRPr="00201B3E" w:rsidRDefault="00201B3E" w:rsidP="00201B3E">
      <w:pPr>
        <w:tabs>
          <w:tab w:val="left" w:pos="7224"/>
        </w:tabs>
        <w:spacing w:after="0" w:line="240" w:lineRule="auto"/>
        <w:jc w:val="both"/>
        <w:rPr>
          <w:b/>
          <w:lang w:val="ru-RU"/>
        </w:rPr>
      </w:pPr>
    </w:p>
    <w:p w:rsidR="00603083" w:rsidRDefault="00AD6019" w:rsidP="00F16E0E">
      <w:pPr>
        <w:spacing w:after="0" w:line="240" w:lineRule="auto"/>
        <w:jc w:val="both"/>
        <w:rPr>
          <w:b/>
          <w:lang w:val="ru-RU"/>
        </w:rPr>
      </w:pPr>
      <w:r w:rsidRPr="00201B3E">
        <w:rPr>
          <w:b/>
          <w:lang w:val="ru-RU"/>
        </w:rPr>
        <w:t>Оцінка впливу на сферу інтересів держави</w:t>
      </w:r>
    </w:p>
    <w:p w:rsidR="00201B3E" w:rsidRPr="00201B3E" w:rsidRDefault="00201B3E" w:rsidP="00F16E0E">
      <w:pPr>
        <w:spacing w:after="0" w:line="240" w:lineRule="auto"/>
        <w:jc w:val="both"/>
        <w:rPr>
          <w:b/>
          <w:lang w:val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3969"/>
        <w:gridCol w:w="3969"/>
      </w:tblGrid>
      <w:tr w:rsidR="00603083" w:rsidRPr="00277BED" w:rsidTr="00F16E0E">
        <w:trPr>
          <w:cantSplit/>
          <w:tblHeader/>
          <w:jc w:val="center"/>
        </w:trPr>
        <w:tc>
          <w:tcPr>
            <w:tcW w:w="181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Альтернатива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Вигоди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Витрати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Відсутність одноразових організаційних витрат на впровадження нового акта.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Правова невизначеність; невідповідність підзаконного регулювання новому Закону; ризики неоднакової адміністративної практики та оскаржень.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Альтернатива 2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Можливість частково зберегти структуру чинного акта.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Складність нормопроєктування і консолідації численних змін; високий ризик внутрішніх неузгодженостей; додаткові транзакційні витрати на адміністрування.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3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Системна реалізація Закону № 2469-IX; виконання євроінтеграційних завдань; єдині правила ліцензування; підвищення якості адміністрування.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Організаційне навантаження на оновлення процедур, форм та внутрішніх алгоритмів. За наданим ФЕР додаткового прямого та опосередкованого впливу на державний/місцеві бюджети не прогнозується.</w:t>
            </w:r>
          </w:p>
        </w:tc>
      </w:tr>
    </w:tbl>
    <w:p w:rsidR="00603083" w:rsidRPr="00F16E0E" w:rsidRDefault="00AD6019" w:rsidP="00277BED">
      <w:pPr>
        <w:jc w:val="both"/>
        <w:rPr>
          <w:b/>
          <w:lang w:val="ru-RU"/>
        </w:rPr>
      </w:pPr>
      <w:r w:rsidRPr="00F16E0E">
        <w:rPr>
          <w:b/>
          <w:lang w:val="ru-RU"/>
        </w:rPr>
        <w:t>Оцінка впливу на сферу інтересів громадян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8"/>
        <w:gridCol w:w="3848"/>
        <w:gridCol w:w="3969"/>
      </w:tblGrid>
      <w:tr w:rsidR="00603083" w:rsidRPr="00277BED" w:rsidTr="00201B3E">
        <w:trPr>
          <w:cantSplit/>
          <w:tblHeader/>
          <w:jc w:val="center"/>
        </w:trPr>
        <w:tc>
          <w:tcPr>
            <w:tcW w:w="209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Альтернатива</w:t>
            </w:r>
          </w:p>
        </w:tc>
        <w:tc>
          <w:tcPr>
            <w:tcW w:w="384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Вигоди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Витрати</w:t>
            </w:r>
          </w:p>
        </w:tc>
      </w:tr>
      <w:tr w:rsidR="00603083" w:rsidRPr="005475E1" w:rsidTr="00201B3E">
        <w:trPr>
          <w:cantSplit/>
          <w:jc w:val="center"/>
        </w:trPr>
        <w:tc>
          <w:tcPr>
            <w:tcW w:w="20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</w:t>
            </w:r>
          </w:p>
        </w:tc>
        <w:tc>
          <w:tcPr>
            <w:tcW w:w="384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Прямих додаткових витрат не виникає.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Ризики правової невизначеності та опосередкованого негативного впливу на стабільність обігу лікарських засобів.</w:t>
            </w:r>
          </w:p>
        </w:tc>
      </w:tr>
      <w:tr w:rsidR="00603083" w:rsidRPr="005475E1" w:rsidTr="00201B3E">
        <w:trPr>
          <w:cantSplit/>
          <w:jc w:val="center"/>
        </w:trPr>
        <w:tc>
          <w:tcPr>
            <w:tcW w:w="20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2</w:t>
            </w:r>
          </w:p>
        </w:tc>
        <w:tc>
          <w:tcPr>
            <w:tcW w:w="384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Часткове оновлення вимог.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Зберігається ризик неоднозначного застосування складної консолідованої редакції.</w:t>
            </w:r>
          </w:p>
        </w:tc>
      </w:tr>
      <w:tr w:rsidR="00603083" w:rsidRPr="005475E1" w:rsidTr="00201B3E">
        <w:trPr>
          <w:cantSplit/>
          <w:jc w:val="center"/>
        </w:trPr>
        <w:tc>
          <w:tcPr>
            <w:tcW w:w="20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3</w:t>
            </w:r>
          </w:p>
        </w:tc>
        <w:tc>
          <w:tcPr>
            <w:tcW w:w="384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Підвищення передбачуваності вимог до якості, виробництва, імпорту, дистрибуції та відпуску лікарських засобів; підтримка доступності ліків.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Прямих обов’язкових витрат для громадян проєкт не встановлює.</w:t>
            </w:r>
          </w:p>
        </w:tc>
      </w:tr>
    </w:tbl>
    <w:p w:rsidR="00603083" w:rsidRPr="00F16E0E" w:rsidRDefault="00AD6019" w:rsidP="00277BED">
      <w:pPr>
        <w:jc w:val="both"/>
        <w:rPr>
          <w:b/>
          <w:lang w:val="ru-RU"/>
        </w:rPr>
      </w:pPr>
      <w:r w:rsidRPr="00F16E0E">
        <w:rPr>
          <w:b/>
          <w:lang w:val="ru-RU"/>
        </w:rPr>
        <w:t>Оцінка впливу на сферу інтересів суб’єктів господарювання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3969"/>
        <w:gridCol w:w="3969"/>
      </w:tblGrid>
      <w:tr w:rsidR="00603083" w:rsidRPr="00277BED" w:rsidTr="00F16E0E">
        <w:trPr>
          <w:cantSplit/>
          <w:tblHeader/>
          <w:jc w:val="center"/>
        </w:trPr>
        <w:tc>
          <w:tcPr>
            <w:tcW w:w="181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Альтернатива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Вигоди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F16E0E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F16E0E">
              <w:rPr>
                <w:b/>
              </w:rPr>
              <w:t>Витрати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Відсутність одноразових витрат на адаптацію до нової редакції.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Невизначеність правил після введення в дію нового Закону, ризики повторного подання документів, затримок, різної практики застосування.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Альтернатива 2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Часткова можливість використовувати чинні документи та процедури.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Підвищені витрати на правовий аналіз і адаптацію до численних точкових змін.</w:t>
            </w:r>
          </w:p>
        </w:tc>
      </w:tr>
      <w:tr w:rsidR="00603083" w:rsidRPr="005475E1">
        <w:trPr>
          <w:cantSplit/>
          <w:jc w:val="center"/>
        </w:trPr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3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Єдиний і вичерпний набір вимог, уніфіковані форми, визначені процедури та перехідні строки.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Оціночні додаткові адміністративні витрати на ознайомлення, організацію виконання, подання документів і актуалізацію внутрішніх процедур: 9 019 296 грн у перший рік для всієї розрахункової бази; 13 027 872 грн за п’ять років.</w:t>
            </w:r>
          </w:p>
        </w:tc>
      </w:tr>
    </w:tbl>
    <w:p w:rsidR="00603083" w:rsidRPr="00201B3E" w:rsidRDefault="00603083" w:rsidP="00277BED">
      <w:pPr>
        <w:jc w:val="both"/>
        <w:rPr>
          <w:lang w:val="ru-RU"/>
        </w:rPr>
      </w:pPr>
    </w:p>
    <w:p w:rsidR="00603083" w:rsidRPr="00201B3E" w:rsidRDefault="00AD6019" w:rsidP="00983D00">
      <w:pPr>
        <w:ind w:firstLine="720"/>
        <w:jc w:val="both"/>
        <w:rPr>
          <w:b/>
          <w:lang w:val="ru-RU"/>
        </w:rPr>
      </w:pPr>
      <w:r w:rsidRPr="009911DC">
        <w:rPr>
          <w:b/>
        </w:rPr>
        <w:t>IV</w:t>
      </w:r>
      <w:r w:rsidRPr="00201B3E">
        <w:rPr>
          <w:b/>
          <w:lang w:val="ru-RU"/>
        </w:rPr>
        <w:t>. Вибір найбільш оптимального альтернативного способу досягнення цілей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1343"/>
        <w:gridCol w:w="6027"/>
      </w:tblGrid>
      <w:tr w:rsidR="00603083" w:rsidRPr="00277BED" w:rsidTr="009911DC">
        <w:trPr>
          <w:cantSplit/>
          <w:tblHeader/>
          <w:jc w:val="center"/>
        </w:trPr>
        <w:tc>
          <w:tcPr>
            <w:tcW w:w="248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Рейтинг результативності</w:t>
            </w:r>
          </w:p>
        </w:tc>
        <w:tc>
          <w:tcPr>
            <w:tcW w:w="1343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Бал (1–4)</w:t>
            </w:r>
          </w:p>
        </w:tc>
        <w:tc>
          <w:tcPr>
            <w:tcW w:w="602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Обґрунтування</w:t>
            </w:r>
          </w:p>
        </w:tc>
      </w:tr>
      <w:tr w:rsidR="00603083" w:rsidRPr="005475E1" w:rsidTr="009911DC">
        <w:trPr>
          <w:cantSplit/>
          <w:jc w:val="center"/>
        </w:trPr>
        <w:tc>
          <w:tcPr>
            <w:tcW w:w="24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</w:t>
            </w:r>
          </w:p>
        </w:tc>
        <w:tc>
          <w:tcPr>
            <w:tcW w:w="1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</w:t>
            </w:r>
          </w:p>
        </w:tc>
        <w:tc>
          <w:tcPr>
            <w:tcW w:w="60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Не забезпечує нормативної реалізації Закону № 2469-</w:t>
            </w:r>
            <w:r w:rsidRPr="00277BED">
              <w:t>IX</w:t>
            </w:r>
            <w:r w:rsidRPr="00201B3E">
              <w:rPr>
                <w:lang w:val="ru-RU"/>
              </w:rPr>
              <w:t xml:space="preserve"> та не усуває правову невизначеність.</w:t>
            </w:r>
          </w:p>
        </w:tc>
      </w:tr>
      <w:tr w:rsidR="00603083" w:rsidRPr="005475E1" w:rsidTr="009911DC">
        <w:trPr>
          <w:cantSplit/>
          <w:jc w:val="center"/>
        </w:trPr>
        <w:tc>
          <w:tcPr>
            <w:tcW w:w="24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2</w:t>
            </w:r>
          </w:p>
        </w:tc>
        <w:tc>
          <w:tcPr>
            <w:tcW w:w="1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2</w:t>
            </w:r>
          </w:p>
        </w:tc>
        <w:tc>
          <w:tcPr>
            <w:tcW w:w="60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Дозволяє частково оновити регулювання, але не забезпечує належної системності та створює ризик внутрішніх неузгодженостей.</w:t>
            </w:r>
          </w:p>
        </w:tc>
      </w:tr>
      <w:tr w:rsidR="00603083" w:rsidRPr="00277BED" w:rsidTr="009911DC">
        <w:trPr>
          <w:cantSplit/>
          <w:jc w:val="center"/>
        </w:trPr>
        <w:tc>
          <w:tcPr>
            <w:tcW w:w="24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3</w:t>
            </w:r>
          </w:p>
        </w:tc>
        <w:tc>
          <w:tcPr>
            <w:tcW w:w="1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</w:t>
            </w:r>
          </w:p>
        </w:tc>
        <w:tc>
          <w:tcPr>
            <w:tcW w:w="60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Забезпечує комплексне досягнення цілей, системне приведення регулювання у відповідність із Законом № 2469-IX та правом ЄС, передбачає перехідні механізми.</w:t>
            </w:r>
          </w:p>
        </w:tc>
      </w:tr>
    </w:tbl>
    <w:p w:rsidR="00603083" w:rsidRPr="00277BED" w:rsidRDefault="00603083" w:rsidP="00277BED">
      <w:pPr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1"/>
        <w:gridCol w:w="2772"/>
        <w:gridCol w:w="2775"/>
        <w:gridCol w:w="2765"/>
      </w:tblGrid>
      <w:tr w:rsidR="00603083" w:rsidRPr="00277BED" w:rsidTr="009911DC">
        <w:trPr>
          <w:cantSplit/>
          <w:tblHeader/>
          <w:jc w:val="center"/>
        </w:trPr>
        <w:tc>
          <w:tcPr>
            <w:tcW w:w="153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Рейтинг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Вигоди (підсумок)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Витрати (підсумок)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9911DC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9911DC">
              <w:rPr>
                <w:b/>
              </w:rPr>
              <w:t>Обґрунтування місця</w:t>
            </w:r>
          </w:p>
        </w:tc>
      </w:tr>
      <w:tr w:rsidR="00603083" w:rsidRPr="005475E1">
        <w:trPr>
          <w:cantSplit/>
          <w:jc w:val="center"/>
        </w:trPr>
        <w:tc>
          <w:tcPr>
            <w:tcW w:w="15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Альтернатива 3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Максимальна правова визначеність, комплексність, євроінтеграційна узгодженість, єдині процедури.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Адміністративні витрати бізнесу на адаптацію; організаційне навантаження органу ліцензування в межах чинних повноважень.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Найповніше досягає цілей за прийнятного рівня регуляторного навантаження.</w:t>
            </w:r>
          </w:p>
        </w:tc>
      </w:tr>
      <w:tr w:rsidR="00603083" w:rsidRPr="005475E1">
        <w:trPr>
          <w:cantSplit/>
          <w:jc w:val="center"/>
        </w:trPr>
        <w:tc>
          <w:tcPr>
            <w:tcW w:w="15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2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Часткове оновлення вимог.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Витрати на адаптацію плюс високі транзакційні витрати через фрагментарність.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Поступається через ризик неоднозначного застосування.</w:t>
            </w:r>
          </w:p>
        </w:tc>
      </w:tr>
      <w:tr w:rsidR="00603083" w:rsidRPr="00277BED">
        <w:trPr>
          <w:cantSplit/>
          <w:jc w:val="center"/>
        </w:trPr>
        <w:tc>
          <w:tcPr>
            <w:tcW w:w="15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Альтернатива 1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Відсутність одноразових витрат на нове регулювання.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Системні правові та адміністративні ризики.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Не розв’язує проблему.</w:t>
            </w:r>
          </w:p>
        </w:tc>
      </w:tr>
    </w:tbl>
    <w:p w:rsidR="00603083" w:rsidRPr="00277BED" w:rsidRDefault="00AD6019" w:rsidP="00322D3A">
      <w:pPr>
        <w:ind w:firstLine="720"/>
        <w:jc w:val="both"/>
      </w:pPr>
      <w:r w:rsidRPr="00277BED">
        <w:t>З урахуванням оцінки вигод і витрат найбіль</w:t>
      </w:r>
      <w:r w:rsidR="00322D3A">
        <w:t xml:space="preserve">ш оптимальною є Альтернатива 3 </w:t>
      </w:r>
      <w:r w:rsidR="00322D3A">
        <w:rPr>
          <w:lang w:val="uk-UA"/>
        </w:rPr>
        <w:t>–</w:t>
      </w:r>
      <w:r w:rsidRPr="00277BED">
        <w:t xml:space="preserve"> прийняття проєкту постанови та затвердження нових Ліцензійних умов.</w:t>
      </w:r>
    </w:p>
    <w:p w:rsidR="00603083" w:rsidRPr="00322D3A" w:rsidRDefault="00AD6019" w:rsidP="00322D3A">
      <w:pPr>
        <w:ind w:firstLine="720"/>
        <w:jc w:val="both"/>
        <w:rPr>
          <w:b/>
          <w:lang w:val="ru-RU"/>
        </w:rPr>
      </w:pPr>
      <w:r w:rsidRPr="00322D3A">
        <w:rPr>
          <w:b/>
        </w:rPr>
        <w:t>V</w:t>
      </w:r>
      <w:r w:rsidRPr="00322D3A">
        <w:rPr>
          <w:b/>
          <w:lang w:val="ru-RU"/>
        </w:rPr>
        <w:t>. Механізми та заходи, які забезпечать розв’язання визначеної проблеми</w:t>
      </w:r>
    </w:p>
    <w:p w:rsidR="00603083" w:rsidRPr="00322D3A" w:rsidRDefault="00AD6019" w:rsidP="00322D3A">
      <w:pPr>
        <w:ind w:firstLine="720"/>
        <w:jc w:val="both"/>
        <w:rPr>
          <w:lang w:val="ru-RU"/>
        </w:rPr>
      </w:pPr>
      <w:r w:rsidRPr="00322D3A">
        <w:rPr>
          <w:lang w:val="ru-RU"/>
        </w:rPr>
        <w:t>Механізмом розв’язання проблеми є затвердження нових Ліцензійних умов, що встановлюють вичерпні вимоги до ліцензіатів та документів, які подаються до органу ліцензування, а також процедурні правила для відповідних</w:t>
      </w:r>
      <w:r w:rsidR="00322D3A">
        <w:rPr>
          <w:lang w:val="ru-RU"/>
        </w:rPr>
        <w:t xml:space="preserve"> видів господарської діяльності: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окремі форми заяв та відомостей для виробництва, імпорту, оптової і роздрібної торгівлі;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визначення документів, що додаються до заяв, зокрема досьє виробничої дільниці, досьє імпортера, відомостей про матеріально-технічну базу та кваліфікований персонал;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уніфікація процедур повідомлення про зміну даних, розширення, зупинення, відновлення, припинення та переоформлення ліцензії;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встановлення строків видачі ліцензії: до 30 календарних днів для оптової та роздрібної торгівлі і до 90 календарних днів для виробництва та імпорту;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передліцензійна перевірка відповідності матеріально-технічної бази, кваліфікації персоналу та умов контролю якості у випадках, передбачених законодавством;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lastRenderedPageBreak/>
        <w:t>вимоги до фармацевтичної системи якості, належних практик, документації, уповноважених і відповідальних осіб;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перехідний строк два місяці для приведення діяльності чинних ліцензіатів у відповідність із новими Ліцензійними умовами;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відстрочене застосування окремих кадрових і організаційних вимог: з 1 липня 2027 року та з 1 січня 2028 року відповідно до проєкту постанови;</w:t>
      </w:r>
    </w:p>
    <w:p w:rsidR="00603083" w:rsidRPr="00322D3A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збереження спеціальних механізмів діяльності в умовах воєнного стану, передбачених проєктом постанови.</w:t>
      </w:r>
    </w:p>
    <w:p w:rsidR="00603083" w:rsidRDefault="00AD6019" w:rsidP="00322D3A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>Для впровадження регулювання Держлікслужбі необхідно забезпечити оприлюднення акта та роз’яснювальної інформації, актуалізацію внутрішніх алгоритмів і форм документів, організаційно-методичне забезпечення працівників та моніторинг практики застосування.</w:t>
      </w:r>
    </w:p>
    <w:p w:rsidR="00322D3A" w:rsidRPr="00322D3A" w:rsidRDefault="00322D3A" w:rsidP="00322D3A">
      <w:pPr>
        <w:spacing w:after="0" w:line="240" w:lineRule="auto"/>
        <w:ind w:firstLine="720"/>
        <w:jc w:val="both"/>
        <w:rPr>
          <w:lang w:val="ru-RU"/>
        </w:rPr>
      </w:pPr>
    </w:p>
    <w:p w:rsidR="00603083" w:rsidRPr="00322D3A" w:rsidRDefault="00AD6019" w:rsidP="00322D3A">
      <w:pPr>
        <w:ind w:firstLine="720"/>
        <w:jc w:val="both"/>
        <w:rPr>
          <w:b/>
          <w:lang w:val="ru-RU"/>
        </w:rPr>
      </w:pPr>
      <w:r w:rsidRPr="00322D3A">
        <w:rPr>
          <w:b/>
        </w:rPr>
        <w:t>VI</w:t>
      </w:r>
      <w:r w:rsidRPr="00322D3A">
        <w:rPr>
          <w:b/>
          <w:lang w:val="ru-RU"/>
        </w:rPr>
        <w:t>. Оцінка виконання вимог регуляторного акта залежно від ресурсів, якими розпоряджаються органи виконавчої влади, фізичні та юридичні особи</w:t>
      </w:r>
    </w:p>
    <w:p w:rsidR="00603083" w:rsidRPr="00322D3A" w:rsidRDefault="00AD6019" w:rsidP="00201B3E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 xml:space="preserve">Для кількісної оцінки адміністративних витрат суб’єктів господарювання використано мінімальну заробітну плату у погодинному розмірі, встановлену Законом України «Про Державний бюджет України на 2026 рік», </w:t>
      </w:r>
      <w:r w:rsidR="002E524D">
        <w:rPr>
          <w:lang w:val="ru-RU"/>
        </w:rPr>
        <w:t>–</w:t>
      </w:r>
      <w:r w:rsidRPr="00322D3A">
        <w:rPr>
          <w:lang w:val="ru-RU"/>
        </w:rPr>
        <w:t xml:space="preserve"> 52 грн за годину.</w:t>
      </w:r>
    </w:p>
    <w:p w:rsidR="00603083" w:rsidRPr="002E524D" w:rsidRDefault="00AD6019" w:rsidP="00201B3E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 xml:space="preserve">Розрахункова кількість суб’єктів великого і середнього підприємництва становить 640 одиниць (103 великих та 537 середніх). </w:t>
      </w:r>
      <w:r w:rsidRPr="00201B3E">
        <w:rPr>
          <w:lang w:val="ru-RU"/>
        </w:rPr>
        <w:t xml:space="preserve">Розрахунок витрат на одного суб’єкта великого і середнього підприємництва наведено у додатку 1 до цього АРВ. </w:t>
      </w:r>
      <w:r w:rsidRPr="002E524D">
        <w:rPr>
          <w:lang w:val="ru-RU"/>
        </w:rPr>
        <w:t xml:space="preserve">Оціночні витрати становлять 1 872 грн на одного суб’єкта у перший рік та 2 704 грн за п’ять років; відповідно сумарно </w:t>
      </w:r>
      <w:r w:rsidR="002E524D" w:rsidRPr="002E524D">
        <w:rPr>
          <w:lang w:val="ru-RU"/>
        </w:rPr>
        <w:t>–</w:t>
      </w:r>
      <w:r w:rsidRPr="002E524D">
        <w:rPr>
          <w:lang w:val="ru-RU"/>
        </w:rPr>
        <w:t xml:space="preserve"> 1 198 080 грн у перший рік та 1 730 560 грн за п’ять років.</w:t>
      </w:r>
    </w:p>
    <w:p w:rsidR="00603083" w:rsidRPr="00201B3E" w:rsidRDefault="00AD6019" w:rsidP="00201B3E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 xml:space="preserve">Розрахункова кількість суб’єктів малого та </w:t>
      </w:r>
      <w:r w:rsidR="009B7FD5">
        <w:rPr>
          <w:lang w:val="ru-RU"/>
        </w:rPr>
        <w:t>мікропідприємництва становить 4</w:t>
      </w:r>
      <w:r w:rsidRPr="00322D3A">
        <w:rPr>
          <w:lang w:val="ru-RU"/>
        </w:rPr>
        <w:t xml:space="preserve">178 одиниць. </w:t>
      </w:r>
      <w:r w:rsidRPr="00201B3E">
        <w:rPr>
          <w:lang w:val="ru-RU"/>
        </w:rPr>
        <w:t>М-Тест наведено у додатку 2 до цього АРВ. Оціночні адміністративні витрати малого підприємництва становлять 7 821 216 грн у перший рік та 11 297 312 грн за п’ять років.</w:t>
      </w:r>
    </w:p>
    <w:p w:rsidR="00603083" w:rsidRPr="00201B3E" w:rsidRDefault="00AD6019" w:rsidP="00201B3E">
      <w:pPr>
        <w:spacing w:after="0" w:line="240" w:lineRule="auto"/>
        <w:ind w:firstLine="567"/>
        <w:jc w:val="both"/>
        <w:rPr>
          <w:lang w:val="ru-RU"/>
        </w:rPr>
      </w:pPr>
      <w:r w:rsidRPr="00322D3A">
        <w:rPr>
          <w:lang w:val="ru-RU"/>
        </w:rPr>
        <w:t>Сумарні оціночні адміністративні в</w:t>
      </w:r>
      <w:r w:rsidR="00201B3E">
        <w:rPr>
          <w:lang w:val="ru-RU"/>
        </w:rPr>
        <w:t xml:space="preserve">итрати суб’єктів господарювання </w:t>
      </w:r>
      <w:r w:rsidRPr="00322D3A">
        <w:rPr>
          <w:lang w:val="ru-RU"/>
        </w:rPr>
        <w:t xml:space="preserve">всіх категорій становлять 9 019 296 грн у перший рік та 13 027 872 грн за п’ять років. </w:t>
      </w:r>
      <w:r w:rsidRPr="00201B3E">
        <w:rPr>
          <w:lang w:val="ru-RU"/>
        </w:rPr>
        <w:t>До розрахунків не включено витрати, що вже прямо встановлені Законом № 2469-</w:t>
      </w:r>
      <w:r w:rsidRPr="00277BED">
        <w:t>IX</w:t>
      </w:r>
      <w:r w:rsidRPr="00201B3E">
        <w:rPr>
          <w:lang w:val="ru-RU"/>
        </w:rPr>
        <w:t xml:space="preserve"> або виникають із чинного регулювання незалежно від прийняття проєкту постанови.</w:t>
      </w:r>
    </w:p>
    <w:p w:rsidR="00603083" w:rsidRDefault="00AD6019" w:rsidP="00201B3E">
      <w:pPr>
        <w:spacing w:after="0" w:line="240" w:lineRule="auto"/>
        <w:ind w:firstLine="567"/>
        <w:jc w:val="both"/>
        <w:rPr>
          <w:lang w:val="ru-RU"/>
        </w:rPr>
      </w:pPr>
      <w:r w:rsidRPr="00201B3E">
        <w:rPr>
          <w:lang w:val="ru-RU"/>
        </w:rPr>
        <w:t>Відповідно до наданих фінансово-економічних розрахунків прогнозується відсутність прямого та опосередкованого впливу проєкту акта на надходження та витрати державного та/або місцевих бюджетів. Проєкт не передбачає утворення нового органу, збільшення штатної чисельності чи запровадження окремої бюджетної програми. Адміністрування здійснюватиметься в межах наявних повноважень і ресурсів Держлікслужби.</w:t>
      </w:r>
    </w:p>
    <w:p w:rsidR="00201B3E" w:rsidRPr="00201B3E" w:rsidRDefault="00201B3E" w:rsidP="00201B3E">
      <w:pPr>
        <w:spacing w:after="0" w:line="240" w:lineRule="auto"/>
        <w:ind w:firstLine="567"/>
        <w:jc w:val="both"/>
        <w:rPr>
          <w:lang w:val="ru-RU"/>
        </w:rPr>
      </w:pPr>
    </w:p>
    <w:p w:rsidR="00603083" w:rsidRPr="00322D3A" w:rsidRDefault="00AD6019" w:rsidP="00322D3A">
      <w:pPr>
        <w:ind w:firstLine="720"/>
        <w:jc w:val="both"/>
        <w:rPr>
          <w:b/>
          <w:lang w:val="ru-RU"/>
        </w:rPr>
      </w:pPr>
      <w:r w:rsidRPr="00322D3A">
        <w:rPr>
          <w:b/>
        </w:rPr>
        <w:lastRenderedPageBreak/>
        <w:t>VII</w:t>
      </w:r>
      <w:r w:rsidRPr="00322D3A">
        <w:rPr>
          <w:b/>
          <w:lang w:val="ru-RU"/>
        </w:rPr>
        <w:t>. Обґрунтування запропонованого строку дії регуляторного акта</w:t>
      </w:r>
    </w:p>
    <w:p w:rsidR="00603083" w:rsidRPr="00201B3E" w:rsidRDefault="00AD6019" w:rsidP="009B7FD5">
      <w:pPr>
        <w:spacing w:after="0" w:line="240" w:lineRule="auto"/>
        <w:ind w:firstLine="720"/>
        <w:jc w:val="both"/>
        <w:rPr>
          <w:lang w:val="ru-RU"/>
        </w:rPr>
      </w:pPr>
      <w:r w:rsidRPr="00201B3E">
        <w:rPr>
          <w:lang w:val="ru-RU"/>
        </w:rPr>
        <w:t>Строк дії регуляторного акта є необмеженим, оскільки він встановлює базові правила ліцензування у сфері обігу лікарських засобів. Перегляд акта здійснюватиметься у разі зміни законодавства вищої юридичної сили, права Європейського Союзу, за результатами відстеження результативності або виявлення проблем правозастосування.</w:t>
      </w:r>
    </w:p>
    <w:p w:rsidR="00603083" w:rsidRDefault="00AD6019" w:rsidP="00201B3E">
      <w:pPr>
        <w:spacing w:after="0" w:line="240" w:lineRule="auto"/>
        <w:ind w:firstLine="720"/>
        <w:jc w:val="both"/>
        <w:rPr>
          <w:lang w:val="ru-RU"/>
        </w:rPr>
      </w:pPr>
      <w:r w:rsidRPr="00201B3E">
        <w:rPr>
          <w:lang w:val="ru-RU"/>
        </w:rPr>
        <w:t>Постанова набирає чинності з дня введення в дію Закону № 2469-</w:t>
      </w:r>
      <w:r w:rsidRPr="00277BED">
        <w:t>IX</w:t>
      </w:r>
      <w:r w:rsidRPr="00201B3E">
        <w:rPr>
          <w:lang w:val="ru-RU"/>
        </w:rPr>
        <w:t>, крім окремих положень, для яких проєктом установлено відстрочене застосування. Такі відстрочки є механізмом поетапного впровадження і не обмежують строк дії регуляторного акта.</w:t>
      </w:r>
    </w:p>
    <w:p w:rsidR="00201B3E" w:rsidRPr="00201B3E" w:rsidRDefault="00201B3E" w:rsidP="00201B3E">
      <w:pPr>
        <w:spacing w:after="0" w:line="240" w:lineRule="auto"/>
        <w:ind w:firstLine="720"/>
        <w:jc w:val="both"/>
        <w:rPr>
          <w:lang w:val="ru-RU"/>
        </w:rPr>
      </w:pPr>
    </w:p>
    <w:p w:rsidR="00603083" w:rsidRPr="00201B3E" w:rsidRDefault="00AD6019" w:rsidP="00322D3A">
      <w:pPr>
        <w:ind w:firstLine="720"/>
        <w:jc w:val="both"/>
        <w:rPr>
          <w:b/>
          <w:lang w:val="ru-RU"/>
        </w:rPr>
      </w:pPr>
      <w:r w:rsidRPr="00322D3A">
        <w:rPr>
          <w:b/>
        </w:rPr>
        <w:t>VIII</w:t>
      </w:r>
      <w:r w:rsidRPr="00201B3E">
        <w:rPr>
          <w:b/>
          <w:lang w:val="ru-RU"/>
        </w:rPr>
        <w:t>. Визначення показників результативності дії регуляторного акта</w:t>
      </w:r>
    </w:p>
    <w:p w:rsidR="00603083" w:rsidRPr="00201B3E" w:rsidRDefault="00AD6019" w:rsidP="00277BED">
      <w:pPr>
        <w:jc w:val="both"/>
        <w:rPr>
          <w:lang w:val="ru-RU"/>
        </w:rPr>
      </w:pPr>
      <w:r w:rsidRPr="00201B3E">
        <w:rPr>
          <w:lang w:val="ru-RU"/>
        </w:rPr>
        <w:t>Для оцінки результативності пропонуються такі кількісні та якісні показники: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"/>
        <w:gridCol w:w="3813"/>
        <w:gridCol w:w="2814"/>
        <w:gridCol w:w="3057"/>
      </w:tblGrid>
      <w:tr w:rsidR="00603083" w:rsidRPr="00277BED" w:rsidTr="00322D3A">
        <w:trPr>
          <w:cantSplit/>
          <w:tblHeader/>
          <w:jc w:val="center"/>
        </w:trPr>
        <w:tc>
          <w:tcPr>
            <w:tcW w:w="45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№</w:t>
            </w:r>
          </w:p>
        </w:tc>
        <w:tc>
          <w:tcPr>
            <w:tcW w:w="436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Показник</w:t>
            </w:r>
          </w:p>
        </w:tc>
        <w:tc>
          <w:tcPr>
            <w:tcW w:w="2324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Базове/розрахункове значення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Очікуване/контрольне значення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Кількість ліцензіатів з промислового виробництва,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104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за фактичними даними ліцензійного реєстру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2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Кількість ліцензіатів з імпорту,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199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за фактичними даними ліцензійного реєстру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3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Кількість ліцензіатів з оптової торгівлі,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359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за фактичними даними ліцензійного реєстру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4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Кількість ліцензіатів з роздрібної торгівлі,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3 996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за фактичними даними ліцензійного реєстру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5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Кількість ліцензіатів з виробництва (виготовлення) в умовах аптеки,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160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за фактичними даними ліцензійного реєстру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6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Кількість заяв про отримання/розширення ліцензії,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визначається за адміністративними даними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фактичне значення за період відстеження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7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Частка відмов з причин невідповідності документів/умов, %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визначається при базовому відстеженні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відсутність системного зростання після адаптаційного періоду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8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Середній фактичний строк розгляду заяв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визначається при базовому відстеженні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у межах строків, установлених законом: до 30/90 календарних днів залежно від виду діяльності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9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Кількість обґрунтованих скарг на ліцензійні процедури, од.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визначається при базовому відстеженні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відсутність системного зростання; тенденція до зниження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10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Оціночні витрати одного суб’єкта на виконання додаткових процедурних вимог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2E524D" w:rsidP="00201B3E">
            <w:pPr>
              <w:spacing w:after="0" w:line="240" w:lineRule="auto"/>
              <w:jc w:val="both"/>
            </w:pPr>
            <w:r>
              <w:t>–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1 872 грн у перший рік; 2 704 грн за п’ять років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11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Сумарні оціночні витрати бізнесу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2E524D" w:rsidP="00201B3E">
            <w:pPr>
              <w:spacing w:after="0" w:line="240" w:lineRule="auto"/>
              <w:jc w:val="both"/>
            </w:pPr>
            <w:r>
              <w:t>–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9 019 296 грн у перший рік; 13 027 872 грн за п’ять років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12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Додаткові бюджетні видатки, пов’язані з реалізацією акта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0 грн згідно з ФЕР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0 грн за умови реалізації в межах наявних бюджетних призначень</w:t>
            </w:r>
          </w:p>
        </w:tc>
      </w:tr>
      <w:tr w:rsidR="00603083" w:rsidRPr="005475E1">
        <w:trPr>
          <w:cantSplit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13</w:t>
            </w:r>
          </w:p>
        </w:tc>
        <w:tc>
          <w:tcPr>
            <w:tcW w:w="43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Рівень поінформованості ліцензіатів про нові вимоги</w:t>
            </w:r>
          </w:p>
        </w:tc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визначається за зверненнями/за потреби опитуванням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зростання після проведення інформаційно-роз’яснювальної роботи</w:t>
            </w:r>
          </w:p>
        </w:tc>
      </w:tr>
    </w:tbl>
    <w:p w:rsidR="00603083" w:rsidRPr="00201B3E" w:rsidRDefault="00603083" w:rsidP="00277BED">
      <w:pPr>
        <w:jc w:val="both"/>
        <w:rPr>
          <w:lang w:val="ru-RU"/>
        </w:rPr>
      </w:pPr>
    </w:p>
    <w:p w:rsidR="00603083" w:rsidRPr="00322D3A" w:rsidRDefault="00AD6019" w:rsidP="00322D3A">
      <w:pPr>
        <w:ind w:firstLine="720"/>
        <w:jc w:val="both"/>
        <w:rPr>
          <w:b/>
          <w:lang w:val="ru-RU"/>
        </w:rPr>
      </w:pPr>
      <w:r w:rsidRPr="00322D3A">
        <w:rPr>
          <w:b/>
        </w:rPr>
        <w:t>IX</w:t>
      </w:r>
      <w:r w:rsidRPr="00322D3A">
        <w:rPr>
          <w:b/>
          <w:lang w:val="ru-RU"/>
        </w:rPr>
        <w:t>. Визначення заходів, за допомогою яких здійснюватиметься відстеження результативності дії регуляторного акта</w:t>
      </w:r>
    </w:p>
    <w:p w:rsidR="00603083" w:rsidRPr="00201B3E" w:rsidRDefault="00AD6019" w:rsidP="009B7FD5">
      <w:pPr>
        <w:spacing w:after="0" w:line="240" w:lineRule="auto"/>
        <w:ind w:firstLine="720"/>
        <w:jc w:val="both"/>
        <w:rPr>
          <w:lang w:val="ru-RU"/>
        </w:rPr>
      </w:pPr>
      <w:r w:rsidRPr="00322D3A">
        <w:rPr>
          <w:lang w:val="ru-RU"/>
        </w:rPr>
        <w:t xml:space="preserve">Відстеження результативності регуляторного акта здійснюватиметься </w:t>
      </w:r>
      <w:r w:rsidR="009B7FD5">
        <w:rPr>
          <w:lang w:val="ru-RU"/>
        </w:rPr>
        <w:t>Державною службою України з лікарських засобів та контролю за наркотиками</w:t>
      </w:r>
      <w:r w:rsidRPr="00322D3A">
        <w:rPr>
          <w:lang w:val="ru-RU"/>
        </w:rPr>
        <w:t xml:space="preserve"> статистичним методом на підставі даних ліцензійного реєстру, адміністративних даних щодо заяв, рішень, строків розгляду, скарг та результатів контрольних заходів. </w:t>
      </w:r>
      <w:r w:rsidRPr="00201B3E">
        <w:rPr>
          <w:lang w:val="ru-RU"/>
        </w:rPr>
        <w:t>За необхідності можуть використовуватися дані опитувань суб’єктів господарювання та професійних об’єднань.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0"/>
        <w:gridCol w:w="2835"/>
        <w:gridCol w:w="5102"/>
      </w:tblGrid>
      <w:tr w:rsidR="00603083" w:rsidRPr="00277BED" w:rsidTr="00322D3A">
        <w:trPr>
          <w:cantSplit/>
          <w:tblHeader/>
          <w:jc w:val="center"/>
        </w:trPr>
        <w:tc>
          <w:tcPr>
            <w:tcW w:w="201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Вид відстеження</w:t>
            </w:r>
          </w:p>
        </w:tc>
        <w:tc>
          <w:tcPr>
            <w:tcW w:w="283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Строк проведення</w:t>
            </w:r>
          </w:p>
        </w:tc>
        <w:tc>
          <w:tcPr>
            <w:tcW w:w="510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322D3A" w:rsidRDefault="00AD6019" w:rsidP="00201B3E">
            <w:pPr>
              <w:spacing w:after="0" w:line="240" w:lineRule="auto"/>
              <w:jc w:val="both"/>
              <w:rPr>
                <w:b/>
              </w:rPr>
            </w:pPr>
            <w:r w:rsidRPr="00322D3A">
              <w:rPr>
                <w:b/>
              </w:rPr>
              <w:t>Метод та джерела даних</w:t>
            </w:r>
          </w:p>
        </w:tc>
      </w:tr>
      <w:tr w:rsidR="00603083" w:rsidRPr="005475E1" w:rsidTr="00322D3A">
        <w:trPr>
          <w:cantSplit/>
          <w:jc w:val="center"/>
        </w:trPr>
        <w:tc>
          <w:tcPr>
            <w:tcW w:w="20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lastRenderedPageBreak/>
              <w:t>Базове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E524D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E524D">
              <w:rPr>
                <w:lang w:val="ru-RU"/>
              </w:rPr>
              <w:t xml:space="preserve">до дня набрання чинності регуляторним актом; якщо використовуються виключно статистичні дані </w:t>
            </w:r>
            <w:r w:rsidR="002E524D" w:rsidRPr="002E524D">
              <w:rPr>
                <w:lang w:val="ru-RU"/>
              </w:rPr>
              <w:t>–</w:t>
            </w:r>
            <w:r w:rsidRPr="002E524D">
              <w:rPr>
                <w:lang w:val="ru-RU"/>
              </w:rPr>
              <w:t xml:space="preserve"> може бути завершене після набрання чинності, але до початку повторного відстеження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аналіз адміністративних і статистичних даних Держлікслужби за період до введення акта в дію</w:t>
            </w:r>
          </w:p>
        </w:tc>
      </w:tr>
      <w:tr w:rsidR="00603083" w:rsidRPr="005475E1" w:rsidTr="00322D3A">
        <w:trPr>
          <w:cantSplit/>
          <w:jc w:val="center"/>
        </w:trPr>
        <w:tc>
          <w:tcPr>
            <w:tcW w:w="20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Повторне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через один рік з дня набрання чинності актом або більшістю його положень, але не пізніше двох років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порівняння показників з базовими; за потреби опитування ліцензіатів щодо адміністративних витрат і проблем застосування</w:t>
            </w:r>
          </w:p>
        </w:tc>
      </w:tr>
      <w:tr w:rsidR="00603083" w:rsidRPr="005475E1" w:rsidTr="00322D3A">
        <w:trPr>
          <w:cantSplit/>
          <w:jc w:val="center"/>
        </w:trPr>
        <w:tc>
          <w:tcPr>
            <w:tcW w:w="20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77BED" w:rsidRDefault="00AD6019" w:rsidP="00201B3E">
            <w:pPr>
              <w:spacing w:after="0" w:line="240" w:lineRule="auto"/>
              <w:jc w:val="both"/>
            </w:pPr>
            <w:r w:rsidRPr="00277BED">
              <w:t>Періодичне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раз на кожні три роки, починаючи з дня закінчення заходів з повторного відстеження</w:t>
            </w:r>
          </w:p>
        </w:tc>
        <w:tc>
          <w:tcPr>
            <w:tcW w:w="51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03083" w:rsidRPr="00201B3E" w:rsidRDefault="00AD6019" w:rsidP="00201B3E">
            <w:pPr>
              <w:spacing w:after="0" w:line="240" w:lineRule="auto"/>
              <w:jc w:val="both"/>
              <w:rPr>
                <w:lang w:val="ru-RU"/>
              </w:rPr>
            </w:pPr>
            <w:r w:rsidRPr="00201B3E">
              <w:rPr>
                <w:lang w:val="ru-RU"/>
              </w:rPr>
              <w:t>статистичні та адміністративні дані, результати контролю, скарги, за потреби опитування</w:t>
            </w:r>
          </w:p>
        </w:tc>
      </w:tr>
    </w:tbl>
    <w:p w:rsidR="00603083" w:rsidRPr="00201B3E" w:rsidRDefault="00603083" w:rsidP="00277BED">
      <w:pPr>
        <w:jc w:val="both"/>
        <w:rPr>
          <w:lang w:val="ru-RU"/>
        </w:rPr>
      </w:pPr>
    </w:p>
    <w:p w:rsidR="00603083" w:rsidRPr="00201B3E" w:rsidRDefault="00AD6019" w:rsidP="00277BED">
      <w:pPr>
        <w:jc w:val="both"/>
        <w:rPr>
          <w:lang w:val="ru-RU"/>
        </w:rPr>
      </w:pPr>
      <w:r w:rsidRPr="00201B3E">
        <w:rPr>
          <w:lang w:val="ru-RU"/>
        </w:rPr>
        <w:t>Під час повторного відстеження доцільно окремо оцінити положення, застосування яких проєктом постанови відстрочено до 1 січня 2028 року, після накопичення достатнього періоду їх фактичного застосування.</w:t>
      </w:r>
    </w:p>
    <w:p w:rsidR="00603083" w:rsidRPr="00201B3E" w:rsidRDefault="00603083" w:rsidP="00277BED">
      <w:pPr>
        <w:jc w:val="both"/>
        <w:rPr>
          <w:lang w:val="ru-RU"/>
        </w:rPr>
      </w:pPr>
    </w:p>
    <w:p w:rsidR="00603083" w:rsidRPr="00CF5A1D" w:rsidRDefault="00AD6019" w:rsidP="00277BED">
      <w:pPr>
        <w:jc w:val="both"/>
        <w:rPr>
          <w:b/>
          <w:lang w:val="ru-RU"/>
        </w:rPr>
      </w:pPr>
      <w:r w:rsidRPr="00CF5A1D">
        <w:rPr>
          <w:b/>
          <w:lang w:val="ru-RU"/>
        </w:rPr>
        <w:t>Голова ліквідаційної комісії</w:t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="00A76BA9">
        <w:rPr>
          <w:b/>
          <w:lang w:val="ru-RU"/>
        </w:rPr>
        <w:tab/>
      </w:r>
      <w:r w:rsidRPr="00CF5A1D">
        <w:rPr>
          <w:b/>
          <w:lang w:val="ru-RU"/>
        </w:rPr>
        <w:t>Тарас ПРОНІВ</w:t>
      </w:r>
    </w:p>
    <w:p w:rsidR="00603083" w:rsidRPr="00201B3E" w:rsidRDefault="00603083" w:rsidP="00277BED">
      <w:pPr>
        <w:jc w:val="both"/>
        <w:rPr>
          <w:lang w:val="ru-RU"/>
        </w:rPr>
      </w:pPr>
    </w:p>
    <w:sectPr w:rsidR="00603083" w:rsidRPr="00201B3E" w:rsidSect="00034616">
      <w:footerReference w:type="default" r:id="rId8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74B" w:rsidRDefault="0013374B">
      <w:pPr>
        <w:spacing w:after="0" w:line="240" w:lineRule="auto"/>
      </w:pPr>
      <w:r>
        <w:separator/>
      </w:r>
    </w:p>
  </w:endnote>
  <w:endnote w:type="continuationSeparator" w:id="0">
    <w:p w:rsidR="0013374B" w:rsidRDefault="00133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019" w:rsidRDefault="00AD6019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5475E1"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74B" w:rsidRDefault="0013374B">
      <w:pPr>
        <w:spacing w:after="0" w:line="240" w:lineRule="auto"/>
      </w:pPr>
      <w:r>
        <w:separator/>
      </w:r>
    </w:p>
  </w:footnote>
  <w:footnote w:type="continuationSeparator" w:id="0">
    <w:p w:rsidR="0013374B" w:rsidRDefault="00133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74B"/>
    <w:rsid w:val="0015074B"/>
    <w:rsid w:val="00201B3E"/>
    <w:rsid w:val="00277BED"/>
    <w:rsid w:val="0029639D"/>
    <w:rsid w:val="002E524D"/>
    <w:rsid w:val="00322D3A"/>
    <w:rsid w:val="00326F90"/>
    <w:rsid w:val="003B64D1"/>
    <w:rsid w:val="00523AE5"/>
    <w:rsid w:val="005475E1"/>
    <w:rsid w:val="00603083"/>
    <w:rsid w:val="006E2F48"/>
    <w:rsid w:val="00983D00"/>
    <w:rsid w:val="009911DC"/>
    <w:rsid w:val="009B7FD5"/>
    <w:rsid w:val="00A76BA9"/>
    <w:rsid w:val="00AA1D8D"/>
    <w:rsid w:val="00AD6019"/>
    <w:rsid w:val="00B306C9"/>
    <w:rsid w:val="00B47730"/>
    <w:rsid w:val="00CB0664"/>
    <w:rsid w:val="00CF5A1D"/>
    <w:rsid w:val="00E13210"/>
    <w:rsid w:val="00F16E0E"/>
    <w:rsid w:val="00FC4D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19C2A47-7C4B-4BDB-B697-15168331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4E8EDC-FFD9-4C00-A446-26CF005B8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11878</Words>
  <Characters>6772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Гедз Тетяна Анатоліївна</cp:lastModifiedBy>
  <cp:revision>13</cp:revision>
  <dcterms:created xsi:type="dcterms:W3CDTF">2013-12-23T23:15:00Z</dcterms:created>
  <dcterms:modified xsi:type="dcterms:W3CDTF">2026-10-02T07:08:00Z</dcterms:modified>
  <cp:category/>
</cp:coreProperties>
</file>